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CC48" w14:textId="77777777" w:rsidR="00CB0E91" w:rsidRDefault="00CB0E91">
      <w:pPr>
        <w:jc w:val="center"/>
      </w:pPr>
    </w:p>
    <w:p w14:paraId="3C28A71F" w14:textId="77777777" w:rsidR="00CB0E91" w:rsidRDefault="00CB0E91">
      <w:pPr>
        <w:jc w:val="center"/>
      </w:pPr>
    </w:p>
    <w:p w14:paraId="7EA0163E" w14:textId="77777777" w:rsidR="00CB0E91" w:rsidRDefault="00CB0E91">
      <w:pPr>
        <w:jc w:val="center"/>
      </w:pPr>
    </w:p>
    <w:p w14:paraId="5E823B63" w14:textId="77777777" w:rsidR="00CB0E91" w:rsidRDefault="00CB0E91">
      <w:pPr>
        <w:jc w:val="center"/>
        <w:rPr>
          <w:rFonts w:ascii="黑体" w:eastAsia="黑体" w:hAnsi="黑体"/>
          <w:sz w:val="72"/>
          <w:szCs w:val="52"/>
        </w:rPr>
      </w:pPr>
    </w:p>
    <w:p w14:paraId="452D3056" w14:textId="77777777" w:rsidR="00CB0E91" w:rsidRDefault="00CB0E91">
      <w:pPr>
        <w:jc w:val="center"/>
        <w:rPr>
          <w:rFonts w:ascii="黑体" w:eastAsia="黑体" w:hAnsi="黑体"/>
          <w:sz w:val="72"/>
          <w:szCs w:val="52"/>
        </w:rPr>
      </w:pPr>
    </w:p>
    <w:p w14:paraId="71A4383E" w14:textId="77777777" w:rsidR="00CB0E91" w:rsidRDefault="00AC5FF7">
      <w:pPr>
        <w:jc w:val="center"/>
        <w:rPr>
          <w:rFonts w:ascii="黑体" w:eastAsia="黑体" w:hAnsi="黑体"/>
          <w:sz w:val="72"/>
          <w:szCs w:val="52"/>
        </w:rPr>
      </w:pPr>
      <w:r>
        <w:rPr>
          <w:rFonts w:ascii="黑体" w:eastAsia="黑体" w:hAnsi="黑体" w:hint="eastAsia"/>
          <w:sz w:val="72"/>
          <w:szCs w:val="52"/>
        </w:rPr>
        <w:t>旅游管理学位授权点建设年度报告</w:t>
      </w:r>
    </w:p>
    <w:p w14:paraId="440E9D08" w14:textId="77777777" w:rsidR="00CB0E91" w:rsidRDefault="00CB0E91">
      <w:pPr>
        <w:pStyle w:val="a7"/>
      </w:pPr>
    </w:p>
    <w:p w14:paraId="7FAB1524" w14:textId="77777777" w:rsidR="00CB0E91" w:rsidRDefault="00CB0E91">
      <w:pPr>
        <w:pStyle w:val="a7"/>
      </w:pPr>
    </w:p>
    <w:p w14:paraId="61571317" w14:textId="77777777" w:rsidR="00CB0E91" w:rsidRDefault="00CB0E91">
      <w:pPr>
        <w:pStyle w:val="a7"/>
      </w:pPr>
    </w:p>
    <w:p w14:paraId="648453DC" w14:textId="77777777" w:rsidR="00CB0E91" w:rsidRDefault="00CB0E91">
      <w:pPr>
        <w:pStyle w:val="a7"/>
      </w:pPr>
    </w:p>
    <w:p w14:paraId="43921E73" w14:textId="77777777" w:rsidR="00CB0E91" w:rsidRDefault="00CB0E91">
      <w:pPr>
        <w:pStyle w:val="a7"/>
      </w:pPr>
    </w:p>
    <w:p w14:paraId="57A70176" w14:textId="77777777" w:rsidR="00CB0E91" w:rsidRDefault="00CB0E91">
      <w:pPr>
        <w:pStyle w:val="a7"/>
      </w:pPr>
    </w:p>
    <w:p w14:paraId="3CEFE3FC" w14:textId="77777777" w:rsidR="00CB0E91" w:rsidRDefault="00CB0E91">
      <w:pPr>
        <w:pStyle w:val="a7"/>
      </w:pPr>
    </w:p>
    <w:p w14:paraId="5A0A0566" w14:textId="77777777" w:rsidR="00CB0E91" w:rsidRDefault="00CB0E91">
      <w:pPr>
        <w:pStyle w:val="a7"/>
      </w:pPr>
    </w:p>
    <w:p w14:paraId="4D7E0580" w14:textId="77777777" w:rsidR="00CB0E91" w:rsidRDefault="00CB0E91">
      <w:pPr>
        <w:pStyle w:val="a7"/>
      </w:pPr>
    </w:p>
    <w:p w14:paraId="76A5EB78" w14:textId="77777777" w:rsidR="00CB0E91" w:rsidRDefault="00AC5FF7">
      <w:pPr>
        <w:pStyle w:val="a7"/>
        <w:jc w:val="center"/>
      </w:pPr>
      <w:r>
        <w:rPr>
          <w:rFonts w:hint="eastAsia"/>
        </w:rPr>
        <w:t>2</w:t>
      </w:r>
      <w:r>
        <w:t>021</w:t>
      </w:r>
      <w:r>
        <w:rPr>
          <w:rFonts w:hint="eastAsia"/>
        </w:rPr>
        <w:t>年</w:t>
      </w:r>
      <w:r>
        <w:rPr>
          <w:rFonts w:hint="eastAsia"/>
        </w:rPr>
        <w:t>1</w:t>
      </w:r>
      <w:r>
        <w:t>2</w:t>
      </w:r>
      <w:r>
        <w:rPr>
          <w:rFonts w:hint="eastAsia"/>
        </w:rPr>
        <w:t>月</w:t>
      </w:r>
    </w:p>
    <w:p w14:paraId="564750FB" w14:textId="77777777" w:rsidR="00CB0E91" w:rsidRDefault="00AC5FF7">
      <w:r>
        <w:rPr>
          <w:rStyle w:val="NormalCharacter"/>
          <w:rFonts w:ascii="宋体" w:eastAsia="宋体" w:hAnsi="宋体" w:cs="宋体"/>
          <w:bCs/>
          <w:sz w:val="36"/>
          <w:szCs w:val="36"/>
        </w:rPr>
        <w:br w:type="page"/>
      </w:r>
    </w:p>
    <w:p w14:paraId="08FA86BA" w14:textId="77777777" w:rsidR="00CB0E91" w:rsidRDefault="00AC5FF7">
      <w:pPr>
        <w:pStyle w:val="1"/>
        <w:spacing w:line="360" w:lineRule="auto"/>
        <w:rPr>
          <w:rFonts w:cstheme="minorBidi"/>
          <w:sz w:val="21"/>
        </w:rPr>
      </w:pPr>
      <w:r>
        <w:rPr>
          <w:rFonts w:hint="eastAsia"/>
        </w:rPr>
        <w:lastRenderedPageBreak/>
        <w:t>一、总体概况</w:t>
      </w:r>
    </w:p>
    <w:p w14:paraId="0E0F435F" w14:textId="77777777" w:rsidR="00CB0E91" w:rsidRDefault="00AC5FF7">
      <w:pPr>
        <w:spacing w:line="360" w:lineRule="auto"/>
        <w:ind w:firstLineChars="200" w:firstLine="562"/>
        <w:rPr>
          <w:rFonts w:asciiTheme="minorHAnsi" w:eastAsiaTheme="minorEastAsia" w:hAnsiTheme="minorHAnsi" w:cstheme="minorBidi"/>
          <w:b/>
          <w:bCs/>
          <w:sz w:val="28"/>
          <w:szCs w:val="36"/>
          <w:highlight w:val="green"/>
        </w:rPr>
      </w:pPr>
      <w:r>
        <w:rPr>
          <w:rFonts w:asciiTheme="minorHAnsi" w:eastAsiaTheme="minorEastAsia" w:hAnsiTheme="minorHAnsi" w:cstheme="minorBidi" w:hint="eastAsia"/>
          <w:b/>
          <w:bCs/>
          <w:sz w:val="28"/>
          <w:szCs w:val="36"/>
        </w:rPr>
        <w:t>（一）学位授权点基本情况</w:t>
      </w:r>
    </w:p>
    <w:p w14:paraId="343F3E10" w14:textId="77777777" w:rsidR="009E7F5A" w:rsidRDefault="00AC5FF7" w:rsidP="009E7F5A">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bCs/>
          <w:sz w:val="28"/>
          <w:szCs w:val="28"/>
        </w:rPr>
        <w:t>根据《MTA指导性培养方案》设置职教与产业融合特色的专业方向。一是旅游教育方向，侧重于培养从事旅游职业教育的教师类人才；二是旅游资源管理、开发与乡村休闲发展规划、设计方向，侧重于培养旅游资源保护、开发与可持续发展战略管理及从事乡村休闲旅游的规划设计专门人才；三是旅游文化产业和企业管理方向，侧重于培养旅游文化产业管理及旅游景区运营管理人才。</w:t>
      </w:r>
      <w:r>
        <w:rPr>
          <w:rStyle w:val="NormalCharacter"/>
          <w:rFonts w:ascii="宋体" w:eastAsia="宋体" w:hAnsi="宋体" w:cs="宋体" w:hint="eastAsia"/>
          <w:bCs/>
          <w:sz w:val="28"/>
          <w:szCs w:val="28"/>
        </w:rPr>
        <w:t>本学位点</w:t>
      </w:r>
      <w:r>
        <w:rPr>
          <w:rStyle w:val="NormalCharacter"/>
          <w:rFonts w:ascii="宋体" w:eastAsia="宋体" w:hAnsi="宋体" w:cs="宋体"/>
          <w:bCs/>
          <w:sz w:val="28"/>
          <w:szCs w:val="28"/>
        </w:rPr>
        <w:t>实行“产学研用”联合办学，与江西</w:t>
      </w:r>
      <w:proofErr w:type="gramStart"/>
      <w:r>
        <w:rPr>
          <w:rStyle w:val="NormalCharacter"/>
          <w:rFonts w:ascii="宋体" w:eastAsia="宋体" w:hAnsi="宋体" w:cs="宋体"/>
          <w:bCs/>
          <w:sz w:val="28"/>
          <w:szCs w:val="28"/>
        </w:rPr>
        <w:t>润赣旅游智</w:t>
      </w:r>
      <w:proofErr w:type="gramEnd"/>
      <w:r>
        <w:rPr>
          <w:rStyle w:val="NormalCharacter"/>
          <w:rFonts w:ascii="宋体" w:eastAsia="宋体" w:hAnsi="宋体" w:cs="宋体"/>
          <w:bCs/>
          <w:sz w:val="28"/>
          <w:szCs w:val="28"/>
        </w:rPr>
        <w:t>业机构等企业联合成立江西乡村旅游发展研究中心、江西地方文化研究中心等产学研用创新平台，与江西省文化和旅游厅签订了开展旅游管理人才培养和旅游从业人员培训战略合作协议，与江西亚细亚国际旅行社、瑞金共和国摇篮5A景区等合作建立专业实训基地。</w:t>
      </w:r>
    </w:p>
    <w:p w14:paraId="4312BDA3" w14:textId="60A39247" w:rsidR="009E7F5A" w:rsidRPr="009E7F5A" w:rsidRDefault="009E7F5A" w:rsidP="009E7F5A">
      <w:pPr>
        <w:spacing w:line="360" w:lineRule="auto"/>
        <w:ind w:firstLineChars="200" w:firstLine="562"/>
        <w:jc w:val="left"/>
        <w:rPr>
          <w:rFonts w:asciiTheme="minorHAnsi" w:eastAsiaTheme="minorEastAsia" w:hAnsiTheme="minorHAnsi" w:cstheme="minorBidi" w:hint="eastAsia"/>
          <w:b/>
          <w:bCs/>
          <w:sz w:val="28"/>
          <w:szCs w:val="36"/>
        </w:rPr>
      </w:pPr>
      <w:r w:rsidRPr="009E7F5A">
        <w:rPr>
          <w:rFonts w:asciiTheme="minorHAnsi" w:eastAsiaTheme="minorEastAsia" w:hAnsiTheme="minorHAnsi" w:cstheme="minorBidi" w:hint="eastAsia"/>
          <w:b/>
          <w:bCs/>
          <w:sz w:val="28"/>
          <w:szCs w:val="36"/>
        </w:rPr>
        <w:t>（二）学科建设情况</w:t>
      </w:r>
    </w:p>
    <w:p w14:paraId="0A2C9FCA" w14:textId="6CFAB9E8" w:rsidR="000238A5" w:rsidRPr="000238A5" w:rsidRDefault="000238A5" w:rsidP="000238A5">
      <w:pPr>
        <w:spacing w:line="360" w:lineRule="auto"/>
        <w:ind w:firstLineChars="200" w:firstLine="560"/>
        <w:rPr>
          <w:rFonts w:ascii="宋体" w:eastAsia="宋体" w:hAnsi="宋体" w:cs="宋体" w:hint="eastAsia"/>
          <w:bCs/>
          <w:sz w:val="28"/>
          <w:szCs w:val="28"/>
        </w:rPr>
      </w:pPr>
      <w:r>
        <w:rPr>
          <w:rStyle w:val="NormalCharacter"/>
          <w:rFonts w:ascii="宋体" w:eastAsia="宋体" w:hAnsi="宋体" w:cs="宋体" w:hint="eastAsia"/>
          <w:bCs/>
          <w:sz w:val="28"/>
          <w:szCs w:val="28"/>
        </w:rPr>
        <w:t>本专业共设有三个方向的专业：</w:t>
      </w:r>
      <w:r w:rsidRPr="000238A5">
        <w:rPr>
          <w:rStyle w:val="NormalCharacter"/>
          <w:rFonts w:ascii="宋体" w:eastAsia="宋体" w:hAnsi="宋体" w:cs="宋体" w:hint="eastAsia"/>
          <w:bCs/>
          <w:sz w:val="28"/>
          <w:szCs w:val="28"/>
        </w:rPr>
        <w:t>一是旅游教育方向</w:t>
      </w:r>
      <w:r>
        <w:rPr>
          <w:rStyle w:val="NormalCharacter"/>
          <w:rFonts w:ascii="宋体" w:eastAsia="宋体" w:hAnsi="宋体" w:cs="宋体" w:hint="eastAsia"/>
          <w:bCs/>
          <w:sz w:val="28"/>
          <w:szCs w:val="28"/>
        </w:rPr>
        <w:t>，</w:t>
      </w:r>
      <w:r w:rsidRPr="000238A5">
        <w:rPr>
          <w:rStyle w:val="NormalCharacter"/>
          <w:rFonts w:ascii="宋体" w:eastAsia="宋体" w:hAnsi="宋体" w:cs="宋体" w:hint="eastAsia"/>
          <w:bCs/>
          <w:sz w:val="28"/>
          <w:szCs w:val="28"/>
        </w:rPr>
        <w:t>二是旅游资源管理、开发与乡村休闲发展规划、设计方向</w:t>
      </w:r>
      <w:r>
        <w:rPr>
          <w:rStyle w:val="NormalCharacter"/>
          <w:rFonts w:ascii="宋体" w:eastAsia="宋体" w:hAnsi="宋体" w:cs="宋体" w:hint="eastAsia"/>
          <w:bCs/>
          <w:sz w:val="28"/>
          <w:szCs w:val="28"/>
        </w:rPr>
        <w:t>，</w:t>
      </w:r>
      <w:r w:rsidRPr="000238A5">
        <w:rPr>
          <w:rStyle w:val="NormalCharacter"/>
          <w:rFonts w:ascii="宋体" w:eastAsia="宋体" w:hAnsi="宋体" w:cs="宋体" w:hint="eastAsia"/>
          <w:bCs/>
          <w:sz w:val="28"/>
          <w:szCs w:val="28"/>
        </w:rPr>
        <w:t>三是旅游文化产业和企业管理方向</w:t>
      </w:r>
      <w:r>
        <w:rPr>
          <w:rStyle w:val="NormalCharacter"/>
          <w:rFonts w:ascii="宋体" w:eastAsia="宋体" w:hAnsi="宋体" w:cs="宋体" w:hint="eastAsia"/>
          <w:bCs/>
          <w:sz w:val="28"/>
          <w:szCs w:val="28"/>
        </w:rPr>
        <w:t>。三个方向的教学内容各有侧重，能够培养各类从事旅游行业的专业人才。</w:t>
      </w:r>
    </w:p>
    <w:p w14:paraId="51C2AE31" w14:textId="4F10C285" w:rsidR="000238A5" w:rsidRDefault="000238A5" w:rsidP="00FC5EE2">
      <w:pPr>
        <w:spacing w:line="360" w:lineRule="auto"/>
        <w:rPr>
          <w:rFonts w:hint="eastAsia"/>
        </w:rPr>
      </w:pPr>
      <w:r>
        <w:rPr>
          <w:rFonts w:hint="eastAsia"/>
        </w:rPr>
        <w:t xml:space="preserve"> </w:t>
      </w:r>
      <w:r>
        <w:t xml:space="preserve">   </w:t>
      </w:r>
      <w:r>
        <w:rPr>
          <w:rStyle w:val="NormalCharacter"/>
          <w:rFonts w:ascii="宋体" w:eastAsia="宋体" w:hAnsi="宋体" w:cs="宋体" w:hint="eastAsia"/>
          <w:bCs/>
          <w:sz w:val="28"/>
          <w:szCs w:val="28"/>
        </w:rPr>
        <w:t>我</w:t>
      </w:r>
      <w:r w:rsidR="00FC5EE2">
        <w:rPr>
          <w:rStyle w:val="NormalCharacter"/>
          <w:rFonts w:ascii="宋体" w:eastAsia="宋体" w:hAnsi="宋体" w:cs="宋体" w:hint="eastAsia"/>
          <w:bCs/>
          <w:sz w:val="28"/>
          <w:szCs w:val="28"/>
        </w:rPr>
        <w:t>院</w:t>
      </w:r>
      <w:r>
        <w:rPr>
          <w:rStyle w:val="NormalCharacter"/>
          <w:rFonts w:ascii="宋体" w:eastAsia="宋体" w:hAnsi="宋体" w:cs="宋体" w:hint="eastAsia"/>
          <w:bCs/>
          <w:sz w:val="28"/>
          <w:szCs w:val="28"/>
        </w:rPr>
        <w:t>硕士生导师数为33人，其中获得博士学位的有9人，获得硕士学位的导师有20人，导师的年龄结构合理，符合专业发展的特</w:t>
      </w:r>
      <w:r>
        <w:rPr>
          <w:rStyle w:val="NormalCharacter"/>
          <w:rFonts w:ascii="宋体" w:eastAsia="宋体" w:hAnsi="宋体" w:cs="宋体" w:hint="eastAsia"/>
          <w:bCs/>
          <w:sz w:val="28"/>
          <w:szCs w:val="28"/>
        </w:rPr>
        <w:lastRenderedPageBreak/>
        <w:t>点。</w:t>
      </w:r>
      <w:r w:rsidR="00FC5EE2">
        <w:rPr>
          <w:rStyle w:val="NormalCharacter"/>
          <w:rFonts w:ascii="宋体" w:eastAsia="宋体" w:hAnsi="宋体" w:cs="宋体" w:hint="eastAsia"/>
          <w:bCs/>
          <w:sz w:val="28"/>
          <w:szCs w:val="28"/>
        </w:rPr>
        <w:t>在导师队伍建设方面，本专业一直致力于</w:t>
      </w:r>
      <w:r w:rsidR="00FC5EE2" w:rsidRPr="00FC5EE2">
        <w:rPr>
          <w:rStyle w:val="NormalCharacter"/>
          <w:rFonts w:ascii="宋体" w:eastAsia="宋体" w:hAnsi="宋体" w:cs="宋体" w:hint="eastAsia"/>
          <w:bCs/>
          <w:sz w:val="28"/>
          <w:szCs w:val="28"/>
        </w:rPr>
        <w:t>打造</w:t>
      </w:r>
      <w:r w:rsidR="00FC5EE2">
        <w:rPr>
          <w:rStyle w:val="NormalCharacter"/>
          <w:rFonts w:ascii="宋体" w:eastAsia="宋体" w:hAnsi="宋体" w:cs="宋体" w:hint="eastAsia"/>
          <w:bCs/>
          <w:sz w:val="28"/>
          <w:szCs w:val="28"/>
        </w:rPr>
        <w:t>一支</w:t>
      </w:r>
      <w:r w:rsidR="00FC5EE2" w:rsidRPr="00FC5EE2">
        <w:rPr>
          <w:rStyle w:val="NormalCharacter"/>
          <w:rFonts w:ascii="宋体" w:eastAsia="宋体" w:hAnsi="宋体" w:cs="宋体" w:hint="eastAsia"/>
          <w:bCs/>
          <w:sz w:val="28"/>
          <w:szCs w:val="28"/>
        </w:rPr>
        <w:t>“双师型”导师队伍。选派专业教师“走出去”到企业挂职锻炼，“请进来”一批旅游行业一线高层次人才充实教学团队，培养“双师”素质教学团队。</w:t>
      </w:r>
    </w:p>
    <w:p w14:paraId="0197128A" w14:textId="5F035AFA" w:rsidR="00925BE9" w:rsidRPr="00925BE9" w:rsidRDefault="00704A89" w:rsidP="00925BE9">
      <w:pPr>
        <w:spacing w:line="360" w:lineRule="auto"/>
        <w:ind w:firstLine="620"/>
        <w:rPr>
          <w:rFonts w:ascii="宋体" w:eastAsia="宋体" w:hAnsi="宋体" w:cs="宋体" w:hint="eastAsia"/>
          <w:bCs/>
          <w:sz w:val="28"/>
          <w:szCs w:val="28"/>
        </w:rPr>
      </w:pPr>
      <w:r w:rsidRPr="00704A89">
        <w:rPr>
          <w:rStyle w:val="NormalCharacter"/>
          <w:rFonts w:ascii="宋体" w:eastAsia="宋体" w:hAnsi="宋体" w:cs="宋体" w:hint="eastAsia"/>
          <w:bCs/>
          <w:sz w:val="28"/>
          <w:szCs w:val="28"/>
        </w:rPr>
        <w:t>2021年，</w:t>
      </w:r>
      <w:r>
        <w:rPr>
          <w:rStyle w:val="NormalCharacter"/>
          <w:rFonts w:ascii="宋体" w:eastAsia="宋体" w:hAnsi="宋体" w:cs="宋体" w:hint="eastAsia"/>
          <w:bCs/>
          <w:sz w:val="28"/>
          <w:szCs w:val="28"/>
        </w:rPr>
        <w:t>我院</w:t>
      </w:r>
      <w:r w:rsidRPr="00704A89">
        <w:rPr>
          <w:rStyle w:val="NormalCharacter"/>
          <w:rFonts w:ascii="宋体" w:eastAsia="宋体" w:hAnsi="宋体" w:cs="宋体" w:hint="eastAsia"/>
          <w:bCs/>
          <w:sz w:val="28"/>
          <w:szCs w:val="28"/>
        </w:rPr>
        <w:t>焦庚英</w:t>
      </w:r>
      <w:r>
        <w:rPr>
          <w:rStyle w:val="NormalCharacter"/>
          <w:rFonts w:ascii="宋体" w:eastAsia="宋体" w:hAnsi="宋体" w:cs="宋体" w:hint="eastAsia"/>
          <w:bCs/>
          <w:sz w:val="28"/>
          <w:szCs w:val="28"/>
        </w:rPr>
        <w:t>老师在《自然资源学报》发表论文</w:t>
      </w:r>
      <w:r w:rsidRPr="00704A89">
        <w:rPr>
          <w:rStyle w:val="NormalCharacter"/>
          <w:rFonts w:ascii="宋体" w:eastAsia="宋体" w:hAnsi="宋体" w:cs="宋体" w:hint="eastAsia"/>
          <w:bCs/>
          <w:sz w:val="28"/>
          <w:szCs w:val="28"/>
        </w:rPr>
        <w:t>《县域"三生空间"格局与功能演变特征及可能影响因素分析——以江西婺源县为例》，</w:t>
      </w:r>
      <w:r>
        <w:rPr>
          <w:rStyle w:val="NormalCharacter"/>
          <w:rFonts w:ascii="宋体" w:eastAsia="宋体" w:hAnsi="宋体" w:cs="宋体" w:hint="eastAsia"/>
          <w:bCs/>
          <w:sz w:val="28"/>
          <w:szCs w:val="28"/>
        </w:rPr>
        <w:t>并在外文期刊《S</w:t>
      </w:r>
      <w:r>
        <w:rPr>
          <w:rStyle w:val="NormalCharacter"/>
          <w:rFonts w:ascii="宋体" w:eastAsia="宋体" w:hAnsi="宋体" w:cs="宋体"/>
          <w:bCs/>
          <w:sz w:val="28"/>
          <w:szCs w:val="28"/>
        </w:rPr>
        <w:t>ustainability</w:t>
      </w:r>
      <w:r>
        <w:rPr>
          <w:rStyle w:val="NormalCharacter"/>
          <w:rFonts w:ascii="宋体" w:eastAsia="宋体" w:hAnsi="宋体" w:cs="宋体" w:hint="eastAsia"/>
          <w:bCs/>
          <w:sz w:val="28"/>
          <w:szCs w:val="28"/>
        </w:rPr>
        <w:t>》以第一作者身份发表论文</w:t>
      </w:r>
      <w:r w:rsidRPr="00704A89">
        <w:rPr>
          <w:rStyle w:val="NormalCharacter"/>
          <w:rFonts w:ascii="宋体" w:eastAsia="宋体" w:hAnsi="宋体" w:cs="宋体" w:hint="eastAsia"/>
          <w:bCs/>
          <w:sz w:val="28"/>
          <w:szCs w:val="28"/>
        </w:rPr>
        <w:t>《Spatiotemporal Characteristics and Influencing Factors of Tourism Revenue in the Yangtze River Delta Urban Agglomeration Region During 2001–2019》，罗丹</w:t>
      </w:r>
      <w:r>
        <w:rPr>
          <w:rStyle w:val="NormalCharacter"/>
          <w:rFonts w:ascii="宋体" w:eastAsia="宋体" w:hAnsi="宋体" w:cs="宋体" w:hint="eastAsia"/>
          <w:bCs/>
          <w:sz w:val="28"/>
          <w:szCs w:val="28"/>
        </w:rPr>
        <w:t>老师以第一作者身份在《</w:t>
      </w:r>
      <w:r w:rsidRPr="00925BE9">
        <w:rPr>
          <w:rStyle w:val="NormalCharacter"/>
          <w:rFonts w:ascii="宋体" w:eastAsia="宋体" w:hAnsi="宋体" w:cs="宋体"/>
          <w:bCs/>
          <w:sz w:val="28"/>
          <w:szCs w:val="28"/>
        </w:rPr>
        <w:t>Asia Pacific Journal of Tourism Research</w:t>
      </w:r>
      <w:r w:rsidRPr="00925BE9">
        <w:rPr>
          <w:rStyle w:val="NormalCharacter"/>
          <w:rFonts w:ascii="宋体" w:eastAsia="宋体" w:hAnsi="宋体" w:cs="宋体"/>
          <w:bCs/>
          <w:sz w:val="28"/>
          <w:szCs w:val="28"/>
        </w:rPr>
        <w:t>》</w:t>
      </w:r>
      <w:r w:rsidR="00925BE9" w:rsidRPr="00925BE9">
        <w:rPr>
          <w:rStyle w:val="NormalCharacter"/>
          <w:rFonts w:ascii="宋体" w:eastAsia="宋体" w:hAnsi="宋体" w:cs="宋体"/>
          <w:bCs/>
          <w:sz w:val="28"/>
          <w:szCs w:val="28"/>
        </w:rPr>
        <w:t>发表论文</w:t>
      </w:r>
      <w:r w:rsidRPr="00704A89">
        <w:rPr>
          <w:rStyle w:val="NormalCharacter"/>
          <w:rFonts w:ascii="宋体" w:eastAsia="宋体" w:hAnsi="宋体" w:cs="宋体" w:hint="eastAsia"/>
          <w:bCs/>
          <w:sz w:val="28"/>
          <w:szCs w:val="28"/>
        </w:rPr>
        <w:t>《How does the international tourism evolve in the past twenty years?》。</w:t>
      </w:r>
    </w:p>
    <w:p w14:paraId="52EE51EF" w14:textId="507A4E55"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w:t>
      </w:r>
      <w:r w:rsidR="009E7F5A">
        <w:rPr>
          <w:rFonts w:asciiTheme="minorHAnsi" w:eastAsiaTheme="minorEastAsia" w:hAnsiTheme="minorHAnsi" w:cstheme="minorBidi" w:hint="eastAsia"/>
          <w:b/>
          <w:bCs/>
          <w:sz w:val="28"/>
          <w:szCs w:val="36"/>
        </w:rPr>
        <w:t>三</w:t>
      </w:r>
      <w:r>
        <w:rPr>
          <w:rFonts w:asciiTheme="minorHAnsi" w:eastAsiaTheme="minorEastAsia" w:hAnsiTheme="minorHAnsi" w:cstheme="minorBidi" w:hint="eastAsia"/>
          <w:b/>
          <w:bCs/>
          <w:sz w:val="28"/>
          <w:szCs w:val="36"/>
        </w:rPr>
        <w:t>）研究生招生和学位授予基本情况</w:t>
      </w:r>
    </w:p>
    <w:p w14:paraId="1BCA1737" w14:textId="77777777" w:rsidR="00CB0E91" w:rsidRDefault="00AC5FF7">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bCs/>
          <w:sz w:val="28"/>
          <w:szCs w:val="28"/>
        </w:rPr>
        <w:t>本学位点</w:t>
      </w:r>
      <w:r>
        <w:rPr>
          <w:rStyle w:val="NormalCharacter"/>
          <w:rFonts w:ascii="宋体" w:eastAsia="宋体" w:hAnsi="宋体" w:cs="宋体" w:hint="eastAsia"/>
          <w:bCs/>
          <w:sz w:val="28"/>
          <w:szCs w:val="28"/>
        </w:rPr>
        <w:t>2021</w:t>
      </w:r>
      <w:r w:rsidRPr="0063725D">
        <w:rPr>
          <w:rStyle w:val="NormalCharacter"/>
          <w:rFonts w:ascii="宋体" w:eastAsia="宋体" w:hAnsi="宋体" w:cs="宋体" w:hint="eastAsia"/>
          <w:bCs/>
          <w:color w:val="000000" w:themeColor="text1"/>
          <w:sz w:val="28"/>
          <w:szCs w:val="28"/>
        </w:rPr>
        <w:t>年</w:t>
      </w:r>
      <w:r>
        <w:rPr>
          <w:rStyle w:val="NormalCharacter"/>
          <w:rFonts w:ascii="宋体" w:eastAsia="宋体" w:hAnsi="宋体" w:cs="宋体" w:hint="eastAsia"/>
          <w:bCs/>
          <w:sz w:val="28"/>
          <w:szCs w:val="28"/>
        </w:rPr>
        <w:t>一</w:t>
      </w:r>
      <w:r>
        <w:rPr>
          <w:rStyle w:val="NormalCharacter"/>
          <w:rFonts w:ascii="宋体" w:eastAsia="宋体" w:hAnsi="宋体" w:cs="宋体"/>
          <w:bCs/>
          <w:sz w:val="28"/>
          <w:szCs w:val="28"/>
        </w:rPr>
        <w:t>共录取研究生</w:t>
      </w:r>
      <w:r>
        <w:rPr>
          <w:rStyle w:val="NormalCharacter"/>
          <w:rFonts w:ascii="宋体" w:eastAsia="宋体" w:hAnsi="宋体" w:cs="宋体" w:hint="eastAsia"/>
          <w:bCs/>
          <w:sz w:val="28"/>
          <w:szCs w:val="28"/>
        </w:rPr>
        <w:t>1</w:t>
      </w:r>
      <w:r>
        <w:rPr>
          <w:rStyle w:val="NormalCharacter"/>
          <w:rFonts w:ascii="宋体" w:eastAsia="宋体" w:hAnsi="宋体" w:cs="宋体"/>
          <w:bCs/>
          <w:sz w:val="28"/>
          <w:szCs w:val="28"/>
        </w:rPr>
        <w:t>6人，</w:t>
      </w:r>
      <w:r>
        <w:rPr>
          <w:rStyle w:val="NormalCharacter"/>
          <w:rFonts w:ascii="宋体" w:eastAsia="宋体" w:hAnsi="宋体" w:cs="宋体" w:hint="eastAsia"/>
          <w:bCs/>
          <w:sz w:val="28"/>
          <w:szCs w:val="28"/>
        </w:rPr>
        <w:t>其中全日制招生人数为10个，非全日制招生人数为6个，均为普通招考。2021年一共授予学位人数9人。</w:t>
      </w:r>
      <w:r>
        <w:rPr>
          <w:rStyle w:val="NormalCharacter"/>
          <w:rFonts w:ascii="宋体" w:eastAsia="宋体" w:hAnsi="宋体" w:cs="宋体"/>
          <w:bCs/>
          <w:sz w:val="28"/>
          <w:szCs w:val="28"/>
        </w:rPr>
        <w:t>具体情况见</w:t>
      </w:r>
      <w:r>
        <w:rPr>
          <w:rStyle w:val="NormalCharacter"/>
          <w:rFonts w:ascii="宋体" w:eastAsia="宋体" w:hAnsi="宋体" w:cs="宋体" w:hint="eastAsia"/>
          <w:bCs/>
          <w:sz w:val="28"/>
          <w:szCs w:val="28"/>
        </w:rPr>
        <w:t>下表：</w:t>
      </w:r>
    </w:p>
    <w:tbl>
      <w:tblPr>
        <w:tblpPr w:leftFromText="180" w:rightFromText="180" w:vertAnchor="text" w:tblpY="1"/>
        <w:tblOverlap w:val="neve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1"/>
        <w:gridCol w:w="3835"/>
        <w:gridCol w:w="2130"/>
      </w:tblGrid>
      <w:tr w:rsidR="00CB0E91" w14:paraId="3251FA46" w14:textId="77777777">
        <w:trPr>
          <w:trHeight w:val="374"/>
        </w:trPr>
        <w:tc>
          <w:tcPr>
            <w:tcW w:w="2361"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2E9673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学科方向名称</w:t>
            </w: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F292802"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项目</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28F0A0B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2021年</w:t>
            </w:r>
          </w:p>
        </w:tc>
      </w:tr>
      <w:tr w:rsidR="00CB0E91" w14:paraId="2A07B3B4" w14:textId="77777777">
        <w:trPr>
          <w:trHeight w:val="374"/>
        </w:trPr>
        <w:tc>
          <w:tcPr>
            <w:tcW w:w="2361" w:type="dxa"/>
            <w:vMerge w:val="restart"/>
            <w:tcBorders>
              <w:top w:val="nil"/>
              <w:left w:val="single" w:sz="4" w:space="0" w:color="auto"/>
              <w:right w:val="single" w:sz="4" w:space="0" w:color="auto"/>
            </w:tcBorders>
            <w:vAlign w:val="center"/>
          </w:tcPr>
          <w:p w14:paraId="0DFB23F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旅游管理</w:t>
            </w: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69EF6EB" w14:textId="77777777" w:rsidR="00CB0E91" w:rsidRDefault="00AC5FF7">
            <w:pPr>
              <w:spacing w:line="360" w:lineRule="auto"/>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研究生招生人数</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B7386D0"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6</w:t>
            </w:r>
          </w:p>
        </w:tc>
      </w:tr>
      <w:tr w:rsidR="00CB0E91" w14:paraId="6CAF9443" w14:textId="77777777">
        <w:trPr>
          <w:trHeight w:val="374"/>
        </w:trPr>
        <w:tc>
          <w:tcPr>
            <w:tcW w:w="2361" w:type="dxa"/>
            <w:vMerge/>
            <w:tcBorders>
              <w:top w:val="nil"/>
              <w:left w:val="single" w:sz="4" w:space="0" w:color="auto"/>
              <w:bottom w:val="single" w:sz="4" w:space="0" w:color="auto"/>
              <w:right w:val="single" w:sz="4" w:space="0" w:color="auto"/>
            </w:tcBorders>
            <w:vAlign w:val="center"/>
          </w:tcPr>
          <w:p w14:paraId="0485C794" w14:textId="77777777" w:rsidR="00CB0E91" w:rsidRDefault="00CB0E91">
            <w:pPr>
              <w:spacing w:line="360" w:lineRule="auto"/>
              <w:rPr>
                <w:rFonts w:asciiTheme="minorEastAsia" w:eastAsiaTheme="minorEastAsia" w:hAnsiTheme="minorEastAsia"/>
                <w:color w:val="000000"/>
                <w:sz w:val="21"/>
                <w:szCs w:val="21"/>
              </w:rPr>
            </w:pP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B461B4F" w14:textId="77777777" w:rsidR="00CB0E91" w:rsidRDefault="00AC5FF7">
            <w:pPr>
              <w:spacing w:line="360" w:lineRule="auto"/>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其中：全日制招生人数</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B92756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0</w:t>
            </w:r>
          </w:p>
        </w:tc>
      </w:tr>
      <w:tr w:rsidR="00CB0E91" w14:paraId="0716D17D" w14:textId="77777777">
        <w:trPr>
          <w:trHeight w:val="374"/>
        </w:trPr>
        <w:tc>
          <w:tcPr>
            <w:tcW w:w="2361" w:type="dxa"/>
            <w:vMerge/>
            <w:tcBorders>
              <w:top w:val="nil"/>
              <w:left w:val="single" w:sz="4" w:space="0" w:color="auto"/>
              <w:bottom w:val="single" w:sz="4" w:space="0" w:color="auto"/>
              <w:right w:val="single" w:sz="4" w:space="0" w:color="auto"/>
            </w:tcBorders>
            <w:vAlign w:val="center"/>
          </w:tcPr>
          <w:p w14:paraId="26D7BB10" w14:textId="77777777" w:rsidR="00CB0E91" w:rsidRDefault="00CB0E91">
            <w:pPr>
              <w:spacing w:line="360" w:lineRule="auto"/>
              <w:rPr>
                <w:rFonts w:asciiTheme="minorEastAsia" w:eastAsiaTheme="minorEastAsia" w:hAnsiTheme="minorEastAsia"/>
                <w:color w:val="000000"/>
                <w:sz w:val="21"/>
                <w:szCs w:val="21"/>
              </w:rPr>
            </w:pP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3D301DDE" w14:textId="77777777" w:rsidR="00CB0E91" w:rsidRDefault="00AC5FF7">
            <w:pPr>
              <w:spacing w:line="360" w:lineRule="auto"/>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非全日制招生人数</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9F6AB4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r>
      <w:tr w:rsidR="00CB0E91" w14:paraId="6D56743B" w14:textId="77777777">
        <w:trPr>
          <w:trHeight w:val="374"/>
        </w:trPr>
        <w:tc>
          <w:tcPr>
            <w:tcW w:w="2361" w:type="dxa"/>
            <w:vMerge/>
            <w:tcBorders>
              <w:top w:val="nil"/>
              <w:left w:val="single" w:sz="4" w:space="0" w:color="auto"/>
              <w:bottom w:val="single" w:sz="4" w:space="0" w:color="auto"/>
              <w:right w:val="single" w:sz="4" w:space="0" w:color="auto"/>
            </w:tcBorders>
            <w:vAlign w:val="center"/>
          </w:tcPr>
          <w:p w14:paraId="116F6F85" w14:textId="77777777" w:rsidR="00CB0E91" w:rsidRDefault="00CB0E91">
            <w:pPr>
              <w:spacing w:line="360" w:lineRule="auto"/>
              <w:rPr>
                <w:rFonts w:asciiTheme="minorEastAsia" w:eastAsiaTheme="minorEastAsia" w:hAnsiTheme="minorEastAsia"/>
                <w:color w:val="000000"/>
                <w:sz w:val="21"/>
                <w:szCs w:val="21"/>
              </w:rPr>
            </w:pP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B160340" w14:textId="77777777" w:rsidR="00CB0E91" w:rsidRDefault="00AC5FF7">
            <w:pPr>
              <w:spacing w:line="360" w:lineRule="auto"/>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招录学生中</w:t>
            </w:r>
            <w:proofErr w:type="gramStart"/>
            <w:r>
              <w:rPr>
                <w:rFonts w:asciiTheme="minorEastAsia" w:eastAsiaTheme="minorEastAsia" w:hAnsiTheme="minorEastAsia" w:hint="eastAsia"/>
                <w:color w:val="000000"/>
                <w:sz w:val="21"/>
                <w:szCs w:val="21"/>
              </w:rPr>
              <w:t>本科推免生人</w:t>
            </w:r>
            <w:proofErr w:type="gramEnd"/>
            <w:r>
              <w:rPr>
                <w:rFonts w:asciiTheme="minorEastAsia" w:eastAsiaTheme="minorEastAsia" w:hAnsiTheme="minorEastAsia" w:hint="eastAsia"/>
                <w:color w:val="000000"/>
                <w:sz w:val="21"/>
                <w:szCs w:val="21"/>
              </w:rPr>
              <w:t>数</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1687A87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r>
      <w:tr w:rsidR="00CB0E91" w14:paraId="27266908" w14:textId="77777777">
        <w:trPr>
          <w:trHeight w:val="374"/>
        </w:trPr>
        <w:tc>
          <w:tcPr>
            <w:tcW w:w="2361" w:type="dxa"/>
            <w:vMerge/>
            <w:tcBorders>
              <w:top w:val="nil"/>
              <w:left w:val="single" w:sz="4" w:space="0" w:color="auto"/>
              <w:bottom w:val="single" w:sz="4" w:space="0" w:color="auto"/>
              <w:right w:val="single" w:sz="4" w:space="0" w:color="auto"/>
            </w:tcBorders>
            <w:vAlign w:val="center"/>
          </w:tcPr>
          <w:p w14:paraId="28B5F292" w14:textId="77777777" w:rsidR="00CB0E91" w:rsidRDefault="00CB0E91">
            <w:pPr>
              <w:spacing w:line="360" w:lineRule="auto"/>
              <w:rPr>
                <w:rFonts w:asciiTheme="minorEastAsia" w:eastAsiaTheme="minorEastAsia" w:hAnsiTheme="minorEastAsia"/>
                <w:color w:val="000000"/>
                <w:sz w:val="21"/>
                <w:szCs w:val="21"/>
              </w:rPr>
            </w:pP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67279DAF" w14:textId="77777777" w:rsidR="00CB0E91" w:rsidRDefault="00AC5FF7">
            <w:pPr>
              <w:spacing w:line="360" w:lineRule="auto"/>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招录学生中普通招考人数</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5D929D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6</w:t>
            </w:r>
          </w:p>
        </w:tc>
      </w:tr>
      <w:tr w:rsidR="00CB0E91" w14:paraId="451233AB" w14:textId="77777777">
        <w:trPr>
          <w:trHeight w:val="374"/>
        </w:trPr>
        <w:tc>
          <w:tcPr>
            <w:tcW w:w="2361" w:type="dxa"/>
            <w:vMerge/>
            <w:tcBorders>
              <w:top w:val="nil"/>
              <w:left w:val="single" w:sz="4" w:space="0" w:color="auto"/>
              <w:bottom w:val="single" w:sz="4" w:space="0" w:color="auto"/>
              <w:right w:val="single" w:sz="4" w:space="0" w:color="auto"/>
            </w:tcBorders>
            <w:vAlign w:val="center"/>
          </w:tcPr>
          <w:p w14:paraId="0798289C" w14:textId="77777777" w:rsidR="00CB0E91" w:rsidRDefault="00CB0E91">
            <w:pPr>
              <w:spacing w:line="360" w:lineRule="auto"/>
              <w:rPr>
                <w:rFonts w:ascii="方正仿宋简体"/>
                <w:color w:val="000000"/>
                <w:sz w:val="21"/>
                <w:szCs w:val="21"/>
              </w:rPr>
            </w:pPr>
          </w:p>
        </w:tc>
        <w:tc>
          <w:tcPr>
            <w:tcW w:w="3835"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35A8DD5" w14:textId="77777777" w:rsidR="00CB0E91" w:rsidRDefault="00AC5FF7">
            <w:pPr>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授予学位人数</w:t>
            </w:r>
          </w:p>
        </w:tc>
        <w:tc>
          <w:tcPr>
            <w:tcW w:w="213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7400282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r>
    </w:tbl>
    <w:p w14:paraId="6655018F" w14:textId="77777777" w:rsidR="00CB0E91" w:rsidRDefault="00CB0E91">
      <w:pPr>
        <w:widowControl/>
        <w:spacing w:line="360" w:lineRule="auto"/>
        <w:rPr>
          <w:rFonts w:ascii="Times New Roman" w:eastAsia="宋体" w:hAnsi="Times New Roman"/>
          <w:color w:val="000000"/>
          <w:kern w:val="0"/>
          <w:sz w:val="22"/>
          <w:szCs w:val="22"/>
        </w:rPr>
      </w:pPr>
    </w:p>
    <w:p w14:paraId="6629AE01" w14:textId="5ACA2E64"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w:t>
      </w:r>
      <w:r w:rsidR="009E7F5A">
        <w:rPr>
          <w:rFonts w:asciiTheme="minorHAnsi" w:eastAsiaTheme="minorEastAsia" w:hAnsiTheme="minorHAnsi" w:cstheme="minorBidi" w:hint="eastAsia"/>
          <w:b/>
          <w:bCs/>
          <w:sz w:val="28"/>
          <w:szCs w:val="36"/>
        </w:rPr>
        <w:t>四</w:t>
      </w:r>
      <w:r>
        <w:rPr>
          <w:rFonts w:asciiTheme="minorHAnsi" w:eastAsiaTheme="minorEastAsia" w:hAnsiTheme="minorHAnsi" w:cstheme="minorBidi" w:hint="eastAsia"/>
          <w:b/>
          <w:bCs/>
          <w:sz w:val="28"/>
          <w:szCs w:val="36"/>
        </w:rPr>
        <w:t>）研究生就业基本情况</w:t>
      </w:r>
    </w:p>
    <w:p w14:paraId="68053B25" w14:textId="77777777" w:rsidR="00CB0E91" w:rsidRDefault="00AC5FF7">
      <w:pPr>
        <w:spacing w:line="360" w:lineRule="auto"/>
        <w:ind w:firstLineChars="200" w:firstLine="560"/>
        <w:jc w:val="left"/>
        <w:rPr>
          <w:rFonts w:ascii="宋体" w:eastAsia="宋体" w:hAnsi="宋体" w:cs="宋体"/>
          <w:bCs/>
          <w:sz w:val="28"/>
          <w:szCs w:val="28"/>
        </w:rPr>
      </w:pPr>
      <w:r>
        <w:rPr>
          <w:rStyle w:val="NormalCharacter"/>
          <w:rFonts w:ascii="宋体" w:eastAsia="宋体" w:hAnsi="宋体" w:cs="宋体"/>
          <w:bCs/>
          <w:sz w:val="28"/>
          <w:szCs w:val="28"/>
        </w:rPr>
        <w:t>在就业方面，本学位点将研究生就业纳入学院就业工作体系， 建立以导师负责学院管理监督相结合的研究生就业服务体系，就业质量高，大多数是到</w:t>
      </w:r>
      <w:r>
        <w:rPr>
          <w:rStyle w:val="NormalCharacter"/>
          <w:rFonts w:ascii="宋体" w:eastAsia="宋体" w:hAnsi="宋体" w:cs="宋体" w:hint="eastAsia"/>
          <w:bCs/>
          <w:sz w:val="28"/>
          <w:szCs w:val="28"/>
        </w:rPr>
        <w:t>高等教育单位和中初等教育单位</w:t>
      </w:r>
      <w:r>
        <w:rPr>
          <w:rStyle w:val="NormalCharacter"/>
          <w:rFonts w:ascii="宋体" w:eastAsia="宋体" w:hAnsi="宋体" w:cs="宋体"/>
          <w:bCs/>
          <w:sz w:val="28"/>
          <w:szCs w:val="28"/>
        </w:rPr>
        <w:t>任职</w:t>
      </w:r>
      <w:r>
        <w:rPr>
          <w:rStyle w:val="NormalCharacter"/>
          <w:rFonts w:ascii="宋体" w:eastAsia="宋体" w:hAnsi="宋体" w:cs="宋体" w:hint="eastAsia"/>
          <w:bCs/>
          <w:sz w:val="28"/>
          <w:szCs w:val="28"/>
        </w:rPr>
        <w:t>。具体而言，在 2021年毕业的全日制硕士中，有3名毕业生签约高等教育单位，1名毕业生签约中初等教育单位，1名选择自主创业。在非全日制硕士中，有1名毕业生在高等教育单位就业，1名自主创业，还有2名选择了其它就业方式，</w:t>
      </w:r>
      <w:r>
        <w:rPr>
          <w:rStyle w:val="NormalCharacter"/>
          <w:rFonts w:ascii="宋体" w:eastAsia="宋体" w:hAnsi="宋体" w:cs="宋体"/>
          <w:bCs/>
          <w:sz w:val="28"/>
          <w:szCs w:val="28"/>
        </w:rPr>
        <w:t>具体见下表</w:t>
      </w:r>
      <w:r>
        <w:rPr>
          <w:rStyle w:val="NormalCharacter"/>
          <w:rFonts w:ascii="宋体" w:eastAsia="宋体" w:hAnsi="宋体" w:cs="宋体" w:hint="eastAsia"/>
          <w:bCs/>
          <w:sz w:val="28"/>
          <w:szCs w:val="28"/>
        </w:rPr>
        <w:t>：</w:t>
      </w:r>
    </w:p>
    <w:tbl>
      <w:tblPr>
        <w:tblpPr w:leftFromText="180" w:rightFromText="180" w:vertAnchor="text" w:tblpY="1"/>
        <w:tblOverlap w:val="neve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659"/>
        <w:gridCol w:w="491"/>
        <w:gridCol w:w="772"/>
        <w:gridCol w:w="695"/>
        <w:gridCol w:w="682"/>
        <w:gridCol w:w="641"/>
        <w:gridCol w:w="695"/>
        <w:gridCol w:w="436"/>
        <w:gridCol w:w="532"/>
        <w:gridCol w:w="450"/>
        <w:gridCol w:w="437"/>
        <w:gridCol w:w="463"/>
        <w:gridCol w:w="478"/>
        <w:gridCol w:w="394"/>
      </w:tblGrid>
      <w:tr w:rsidR="00CB0E91" w14:paraId="3561F438" w14:textId="77777777">
        <w:trPr>
          <w:trHeight w:val="454"/>
        </w:trPr>
        <w:tc>
          <w:tcPr>
            <w:tcW w:w="938" w:type="dxa"/>
            <w:vAlign w:val="center"/>
          </w:tcPr>
          <w:p w14:paraId="2BBAF207" w14:textId="77777777" w:rsidR="00CB0E91" w:rsidRDefault="00AC5FF7">
            <w:pPr>
              <w:spacing w:line="360" w:lineRule="auto"/>
              <w:jc w:val="center"/>
              <w:rPr>
                <w:rFonts w:asciiTheme="minorEastAsia" w:eastAsiaTheme="minorEastAsia" w:hAnsiTheme="minorEastAsia"/>
                <w:color w:val="000000"/>
                <w:sz w:val="21"/>
                <w:szCs w:val="21"/>
              </w:rPr>
            </w:pPr>
            <w:bookmarkStart w:id="0" w:name="_Hlk89282489"/>
            <w:r>
              <w:rPr>
                <w:rFonts w:asciiTheme="minorEastAsia" w:eastAsiaTheme="minorEastAsia" w:hAnsiTheme="minorEastAsia" w:hint="eastAsia"/>
                <w:color w:val="000000"/>
                <w:sz w:val="21"/>
                <w:szCs w:val="21"/>
              </w:rPr>
              <w:t>单位</w:t>
            </w:r>
          </w:p>
          <w:p w14:paraId="3DE3CC7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类别</w:t>
            </w:r>
          </w:p>
        </w:tc>
        <w:tc>
          <w:tcPr>
            <w:tcW w:w="659" w:type="dxa"/>
            <w:vAlign w:val="center"/>
          </w:tcPr>
          <w:p w14:paraId="672897F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年度</w:t>
            </w:r>
          </w:p>
        </w:tc>
        <w:tc>
          <w:tcPr>
            <w:tcW w:w="491" w:type="dxa"/>
            <w:vAlign w:val="center"/>
          </w:tcPr>
          <w:p w14:paraId="1B5C0182" w14:textId="77777777" w:rsidR="00CB0E91" w:rsidRDefault="00AC5FF7">
            <w:pPr>
              <w:adjustRightInd w:val="0"/>
              <w:snapToGrid w:val="0"/>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党政</w:t>
            </w:r>
          </w:p>
          <w:p w14:paraId="33B292F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机关</w:t>
            </w:r>
          </w:p>
        </w:tc>
        <w:tc>
          <w:tcPr>
            <w:tcW w:w="772" w:type="dxa"/>
            <w:vAlign w:val="center"/>
          </w:tcPr>
          <w:p w14:paraId="64BD1D84" w14:textId="77777777" w:rsidR="00CB0E91" w:rsidRDefault="00AC5FF7">
            <w:pPr>
              <w:adjustRightInd w:val="0"/>
              <w:snapToGrid w:val="0"/>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高等教育单位</w:t>
            </w:r>
          </w:p>
        </w:tc>
        <w:tc>
          <w:tcPr>
            <w:tcW w:w="695" w:type="dxa"/>
            <w:vAlign w:val="center"/>
          </w:tcPr>
          <w:p w14:paraId="4622409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中初等教育单位</w:t>
            </w:r>
          </w:p>
        </w:tc>
        <w:tc>
          <w:tcPr>
            <w:tcW w:w="682" w:type="dxa"/>
            <w:vAlign w:val="center"/>
          </w:tcPr>
          <w:p w14:paraId="2B14F9C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科研设计单位</w:t>
            </w:r>
          </w:p>
        </w:tc>
        <w:tc>
          <w:tcPr>
            <w:tcW w:w="641" w:type="dxa"/>
            <w:vAlign w:val="center"/>
          </w:tcPr>
          <w:p w14:paraId="5EBF637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医疗卫生单位</w:t>
            </w:r>
          </w:p>
        </w:tc>
        <w:tc>
          <w:tcPr>
            <w:tcW w:w="695" w:type="dxa"/>
            <w:vAlign w:val="center"/>
          </w:tcPr>
          <w:p w14:paraId="6F56D49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其他事业单位</w:t>
            </w:r>
          </w:p>
        </w:tc>
        <w:tc>
          <w:tcPr>
            <w:tcW w:w="436" w:type="dxa"/>
            <w:vAlign w:val="center"/>
          </w:tcPr>
          <w:p w14:paraId="7125BBC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国有企业</w:t>
            </w:r>
          </w:p>
        </w:tc>
        <w:tc>
          <w:tcPr>
            <w:tcW w:w="532" w:type="dxa"/>
            <w:vAlign w:val="center"/>
          </w:tcPr>
          <w:p w14:paraId="4FA2B4D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民营企业</w:t>
            </w:r>
          </w:p>
        </w:tc>
        <w:tc>
          <w:tcPr>
            <w:tcW w:w="450" w:type="dxa"/>
            <w:vAlign w:val="center"/>
          </w:tcPr>
          <w:p w14:paraId="300152D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三资</w:t>
            </w:r>
          </w:p>
          <w:p w14:paraId="3DD3995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企业</w:t>
            </w:r>
          </w:p>
        </w:tc>
        <w:tc>
          <w:tcPr>
            <w:tcW w:w="437" w:type="dxa"/>
            <w:vAlign w:val="center"/>
          </w:tcPr>
          <w:p w14:paraId="79AE378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部队</w:t>
            </w:r>
          </w:p>
        </w:tc>
        <w:tc>
          <w:tcPr>
            <w:tcW w:w="463" w:type="dxa"/>
            <w:vAlign w:val="center"/>
          </w:tcPr>
          <w:p w14:paraId="2B962F1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自主创业</w:t>
            </w:r>
          </w:p>
        </w:tc>
        <w:tc>
          <w:tcPr>
            <w:tcW w:w="478" w:type="dxa"/>
            <w:vAlign w:val="center"/>
          </w:tcPr>
          <w:p w14:paraId="3B99131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升学</w:t>
            </w:r>
          </w:p>
        </w:tc>
        <w:tc>
          <w:tcPr>
            <w:tcW w:w="394" w:type="dxa"/>
            <w:vAlign w:val="center"/>
          </w:tcPr>
          <w:p w14:paraId="7A7D563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其他</w:t>
            </w:r>
          </w:p>
        </w:tc>
      </w:tr>
      <w:tr w:rsidR="00CB0E91" w14:paraId="0B95B1B5" w14:textId="77777777">
        <w:trPr>
          <w:trHeight w:val="60"/>
        </w:trPr>
        <w:tc>
          <w:tcPr>
            <w:tcW w:w="938" w:type="dxa"/>
            <w:vAlign w:val="center"/>
          </w:tcPr>
          <w:p w14:paraId="09E2D9A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全日制硕士</w:t>
            </w:r>
          </w:p>
        </w:tc>
        <w:tc>
          <w:tcPr>
            <w:tcW w:w="659" w:type="dxa"/>
            <w:vAlign w:val="center"/>
          </w:tcPr>
          <w:p w14:paraId="5EC4457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2021</w:t>
            </w:r>
          </w:p>
        </w:tc>
        <w:tc>
          <w:tcPr>
            <w:tcW w:w="491" w:type="dxa"/>
            <w:vAlign w:val="center"/>
          </w:tcPr>
          <w:p w14:paraId="2AAAAF3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72" w:type="dxa"/>
            <w:vAlign w:val="center"/>
          </w:tcPr>
          <w:p w14:paraId="7111A76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695" w:type="dxa"/>
            <w:vAlign w:val="center"/>
          </w:tcPr>
          <w:p w14:paraId="4D4FF80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682" w:type="dxa"/>
            <w:vAlign w:val="center"/>
          </w:tcPr>
          <w:p w14:paraId="0FEA134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641" w:type="dxa"/>
            <w:vAlign w:val="center"/>
          </w:tcPr>
          <w:p w14:paraId="21F19D1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695" w:type="dxa"/>
            <w:vAlign w:val="center"/>
          </w:tcPr>
          <w:p w14:paraId="4D24A4E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36" w:type="dxa"/>
            <w:vAlign w:val="center"/>
          </w:tcPr>
          <w:p w14:paraId="11D7A73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532" w:type="dxa"/>
            <w:vAlign w:val="center"/>
          </w:tcPr>
          <w:p w14:paraId="193776C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50" w:type="dxa"/>
            <w:vAlign w:val="center"/>
          </w:tcPr>
          <w:p w14:paraId="7FD54D5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37" w:type="dxa"/>
            <w:vAlign w:val="center"/>
          </w:tcPr>
          <w:p w14:paraId="35041B2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63" w:type="dxa"/>
            <w:vAlign w:val="center"/>
          </w:tcPr>
          <w:p w14:paraId="7991A0D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478" w:type="dxa"/>
            <w:vAlign w:val="center"/>
          </w:tcPr>
          <w:p w14:paraId="62D37E5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394" w:type="dxa"/>
            <w:vAlign w:val="center"/>
          </w:tcPr>
          <w:p w14:paraId="66A2B8B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r>
      <w:tr w:rsidR="00CB0E91" w14:paraId="6CA706EA" w14:textId="77777777">
        <w:trPr>
          <w:trHeight w:val="60"/>
        </w:trPr>
        <w:tc>
          <w:tcPr>
            <w:tcW w:w="938" w:type="dxa"/>
            <w:vAlign w:val="center"/>
          </w:tcPr>
          <w:p w14:paraId="08CF231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非全日制硕士</w:t>
            </w:r>
          </w:p>
        </w:tc>
        <w:tc>
          <w:tcPr>
            <w:tcW w:w="659" w:type="dxa"/>
            <w:vAlign w:val="center"/>
          </w:tcPr>
          <w:p w14:paraId="0D81843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2021</w:t>
            </w:r>
          </w:p>
        </w:tc>
        <w:tc>
          <w:tcPr>
            <w:tcW w:w="491" w:type="dxa"/>
            <w:vAlign w:val="center"/>
          </w:tcPr>
          <w:p w14:paraId="3CB9220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72" w:type="dxa"/>
            <w:vAlign w:val="center"/>
          </w:tcPr>
          <w:p w14:paraId="255BDC7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695" w:type="dxa"/>
            <w:vAlign w:val="center"/>
          </w:tcPr>
          <w:p w14:paraId="502553E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682" w:type="dxa"/>
            <w:vAlign w:val="center"/>
          </w:tcPr>
          <w:p w14:paraId="43100E1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641" w:type="dxa"/>
            <w:vAlign w:val="center"/>
          </w:tcPr>
          <w:p w14:paraId="59F8A3E0"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695" w:type="dxa"/>
            <w:vAlign w:val="center"/>
          </w:tcPr>
          <w:p w14:paraId="32B3B25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36" w:type="dxa"/>
            <w:vAlign w:val="center"/>
          </w:tcPr>
          <w:p w14:paraId="32CCEDD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532" w:type="dxa"/>
            <w:vAlign w:val="center"/>
          </w:tcPr>
          <w:p w14:paraId="7ACD738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50" w:type="dxa"/>
            <w:vAlign w:val="center"/>
          </w:tcPr>
          <w:p w14:paraId="36D6BA4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37" w:type="dxa"/>
            <w:vAlign w:val="center"/>
          </w:tcPr>
          <w:p w14:paraId="66B4BF0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463" w:type="dxa"/>
            <w:vAlign w:val="center"/>
          </w:tcPr>
          <w:p w14:paraId="3F1096A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478" w:type="dxa"/>
            <w:vAlign w:val="center"/>
          </w:tcPr>
          <w:p w14:paraId="7A715AB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394" w:type="dxa"/>
            <w:vAlign w:val="center"/>
          </w:tcPr>
          <w:p w14:paraId="69B1FF9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r>
      <w:bookmarkEnd w:id="0"/>
    </w:tbl>
    <w:p w14:paraId="2132C592" w14:textId="77777777" w:rsidR="00162DC2" w:rsidRDefault="00162DC2">
      <w:pPr>
        <w:spacing w:line="360" w:lineRule="auto"/>
        <w:ind w:firstLineChars="200" w:firstLine="562"/>
        <w:rPr>
          <w:rFonts w:asciiTheme="minorHAnsi" w:eastAsiaTheme="minorEastAsia" w:hAnsiTheme="minorHAnsi" w:cstheme="minorBidi"/>
          <w:b/>
          <w:bCs/>
          <w:sz w:val="28"/>
          <w:szCs w:val="36"/>
        </w:rPr>
      </w:pPr>
    </w:p>
    <w:p w14:paraId="5EC12EA6" w14:textId="7D40275B"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lastRenderedPageBreak/>
        <w:t>（</w:t>
      </w:r>
      <w:r w:rsidR="009E7F5A">
        <w:rPr>
          <w:rFonts w:asciiTheme="minorHAnsi" w:eastAsiaTheme="minorEastAsia" w:hAnsiTheme="minorHAnsi" w:cstheme="minorBidi" w:hint="eastAsia"/>
          <w:b/>
          <w:bCs/>
          <w:sz w:val="28"/>
          <w:szCs w:val="36"/>
        </w:rPr>
        <w:t>五</w:t>
      </w:r>
      <w:r>
        <w:rPr>
          <w:rFonts w:asciiTheme="minorHAnsi" w:eastAsiaTheme="minorEastAsia" w:hAnsiTheme="minorHAnsi" w:cstheme="minorBidi" w:hint="eastAsia"/>
          <w:b/>
          <w:bCs/>
          <w:sz w:val="28"/>
          <w:szCs w:val="36"/>
        </w:rPr>
        <w:t>）研究生导师状况</w:t>
      </w:r>
    </w:p>
    <w:p w14:paraId="34278905" w14:textId="77777777" w:rsidR="00CB0E91" w:rsidRDefault="00AC5FF7">
      <w:pPr>
        <w:spacing w:line="360" w:lineRule="auto"/>
        <w:ind w:firstLineChars="200" w:firstLine="560"/>
        <w:jc w:val="left"/>
        <w:rPr>
          <w:rStyle w:val="NormalCharacter"/>
          <w:rFonts w:ascii="宋体" w:eastAsia="宋体" w:hAnsi="宋体"/>
          <w:bCs/>
          <w:sz w:val="28"/>
          <w:szCs w:val="28"/>
        </w:rPr>
      </w:pPr>
      <w:r>
        <w:rPr>
          <w:rStyle w:val="NormalCharacter"/>
          <w:rFonts w:ascii="宋体" w:eastAsia="宋体" w:hAnsi="宋体" w:cs="宋体" w:hint="eastAsia"/>
          <w:bCs/>
          <w:sz w:val="28"/>
          <w:szCs w:val="28"/>
        </w:rPr>
        <w:t>1</w:t>
      </w:r>
      <w:r>
        <w:rPr>
          <w:rStyle w:val="NormalCharacter"/>
          <w:rFonts w:ascii="宋体" w:eastAsia="宋体" w:hAnsi="宋体" w:cs="宋体"/>
          <w:bCs/>
          <w:sz w:val="28"/>
          <w:szCs w:val="28"/>
        </w:rPr>
        <w:t>、</w:t>
      </w:r>
      <w:r>
        <w:rPr>
          <w:rStyle w:val="NormalCharacter"/>
          <w:rFonts w:ascii="宋体" w:eastAsia="宋体" w:hAnsi="宋体" w:hint="eastAsia"/>
          <w:bCs/>
          <w:sz w:val="28"/>
          <w:szCs w:val="28"/>
        </w:rPr>
        <w:t>队伍结构</w:t>
      </w:r>
    </w:p>
    <w:p w14:paraId="6BC0622D" w14:textId="2CEF5A8A" w:rsidR="00CB0E91" w:rsidRDefault="00AC5FF7">
      <w:pPr>
        <w:spacing w:line="360" w:lineRule="auto"/>
        <w:ind w:firstLineChars="200" w:firstLine="560"/>
        <w:jc w:val="left"/>
        <w:rPr>
          <w:rFonts w:ascii="宋体" w:eastAsia="宋体" w:hAnsi="宋体" w:cs="宋体"/>
          <w:bCs/>
          <w:sz w:val="28"/>
          <w:szCs w:val="28"/>
        </w:rPr>
      </w:pPr>
      <w:r>
        <w:rPr>
          <w:rStyle w:val="NormalCharacter"/>
          <w:rFonts w:ascii="宋体" w:eastAsia="宋体" w:hAnsi="宋体" w:cs="宋体" w:hint="eastAsia"/>
          <w:bCs/>
          <w:sz w:val="28"/>
          <w:szCs w:val="28"/>
        </w:rPr>
        <w:t>2021年，我</w:t>
      </w:r>
      <w:r w:rsidR="00FC5EE2">
        <w:rPr>
          <w:rStyle w:val="NormalCharacter"/>
          <w:rFonts w:ascii="宋体" w:eastAsia="宋体" w:hAnsi="宋体" w:cs="宋体" w:hint="eastAsia"/>
          <w:bCs/>
          <w:sz w:val="28"/>
          <w:szCs w:val="28"/>
        </w:rPr>
        <w:t>院</w:t>
      </w:r>
      <w:r>
        <w:rPr>
          <w:rStyle w:val="NormalCharacter"/>
          <w:rFonts w:ascii="宋体" w:eastAsia="宋体" w:hAnsi="宋体" w:cs="宋体" w:hint="eastAsia"/>
          <w:bCs/>
          <w:sz w:val="28"/>
          <w:szCs w:val="28"/>
        </w:rPr>
        <w:t>硕士生导师数为33人，其中获得博士学位的有9人，占导师总数的27%；获得硕士学位的导师有20人，占导师总数的60%。导师的年龄结构合理，符合专业发展的特点。25岁及以下至60岁年龄均有分布，其中60岁的人数有1人，占导师总数的0.3%，46至59岁的人数有24人，占导师总数的72%，36至45岁的人数有8人，占导师总数的24%。本专业导师职称以高级职称为主，导师中正高级职称的导师有12人，副高级职称的导师有17人，中级职称的导师有2人，其他职称的导师有2人。具体情况如下表：</w:t>
      </w:r>
    </w:p>
    <w:tbl>
      <w:tblPr>
        <w:tblpPr w:leftFromText="180" w:rightFromText="180" w:vertAnchor="text" w:tblpY="1"/>
        <w:tblOverlap w:val="never"/>
        <w:tblW w:w="8326" w:type="dxa"/>
        <w:tblLayout w:type="fixed"/>
        <w:tblCellMar>
          <w:left w:w="0" w:type="dxa"/>
          <w:right w:w="0" w:type="dxa"/>
        </w:tblCellMar>
        <w:tblLook w:val="04A0" w:firstRow="1" w:lastRow="0" w:firstColumn="1" w:lastColumn="0" w:noHBand="0" w:noVBand="1"/>
      </w:tblPr>
      <w:tblGrid>
        <w:gridCol w:w="942"/>
        <w:gridCol w:w="524"/>
        <w:gridCol w:w="664"/>
        <w:gridCol w:w="541"/>
        <w:gridCol w:w="531"/>
        <w:gridCol w:w="539"/>
        <w:gridCol w:w="655"/>
        <w:gridCol w:w="773"/>
        <w:gridCol w:w="773"/>
        <w:gridCol w:w="796"/>
        <w:gridCol w:w="797"/>
        <w:gridCol w:w="791"/>
      </w:tblGrid>
      <w:tr w:rsidR="00CB0E91" w14:paraId="366EFCBC" w14:textId="77777777">
        <w:trPr>
          <w:trHeight w:val="100"/>
        </w:trPr>
        <w:tc>
          <w:tcPr>
            <w:tcW w:w="942" w:type="dxa"/>
            <w:vMerge w:val="restart"/>
            <w:tcBorders>
              <w:top w:val="single" w:sz="4" w:space="0" w:color="000000"/>
              <w:left w:val="single" w:sz="4" w:space="0" w:color="000000"/>
              <w:right w:val="single" w:sz="4" w:space="0" w:color="000000"/>
            </w:tcBorders>
            <w:tcMar>
              <w:top w:w="10" w:type="dxa"/>
              <w:left w:w="10" w:type="dxa"/>
              <w:bottom w:w="0" w:type="dxa"/>
              <w:right w:w="10" w:type="dxa"/>
            </w:tcMar>
            <w:vAlign w:val="center"/>
          </w:tcPr>
          <w:p w14:paraId="4E833EA0"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专业技术职务</w:t>
            </w:r>
          </w:p>
        </w:tc>
        <w:tc>
          <w:tcPr>
            <w:tcW w:w="524"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1C0657B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人数合计</w:t>
            </w:r>
          </w:p>
        </w:tc>
        <w:tc>
          <w:tcPr>
            <w:tcW w:w="2930"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A5FEE4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年龄分布</w:t>
            </w:r>
          </w:p>
        </w:tc>
        <w:tc>
          <w:tcPr>
            <w:tcW w:w="1546"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D45221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学历结构</w:t>
            </w:r>
          </w:p>
        </w:tc>
        <w:tc>
          <w:tcPr>
            <w:tcW w:w="796"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30398F5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硕士导师人数</w:t>
            </w:r>
          </w:p>
        </w:tc>
        <w:tc>
          <w:tcPr>
            <w:tcW w:w="797"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2B3CE54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最高学位非本单位授予的人数</w:t>
            </w:r>
          </w:p>
        </w:tc>
        <w:tc>
          <w:tcPr>
            <w:tcW w:w="791"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5A34CB7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兼职</w:t>
            </w:r>
            <w:proofErr w:type="gramStart"/>
            <w:r>
              <w:rPr>
                <w:rFonts w:asciiTheme="minorEastAsia" w:eastAsiaTheme="minorEastAsia" w:hAnsiTheme="minorEastAsia" w:hint="eastAsia"/>
                <w:color w:val="000000"/>
                <w:sz w:val="21"/>
                <w:szCs w:val="21"/>
              </w:rPr>
              <w:t>硕导人数</w:t>
            </w:r>
            <w:proofErr w:type="gramEnd"/>
          </w:p>
        </w:tc>
      </w:tr>
      <w:tr w:rsidR="00CB0E91" w14:paraId="79131BFA" w14:textId="77777777">
        <w:trPr>
          <w:trHeight w:val="600"/>
        </w:trPr>
        <w:tc>
          <w:tcPr>
            <w:tcW w:w="942" w:type="dxa"/>
            <w:vMerge/>
            <w:tcBorders>
              <w:left w:val="single" w:sz="4" w:space="0" w:color="000000"/>
              <w:bottom w:val="single" w:sz="4" w:space="0" w:color="000000"/>
              <w:right w:val="single" w:sz="4" w:space="0" w:color="000000"/>
            </w:tcBorders>
            <w:tcMar>
              <w:top w:w="10" w:type="dxa"/>
              <w:left w:w="10" w:type="dxa"/>
              <w:bottom w:w="0" w:type="dxa"/>
              <w:right w:w="10" w:type="dxa"/>
            </w:tcMar>
            <w:vAlign w:val="center"/>
          </w:tcPr>
          <w:p w14:paraId="5AE283F9" w14:textId="77777777" w:rsidR="00CB0E91" w:rsidRDefault="00CB0E91">
            <w:pPr>
              <w:spacing w:line="360" w:lineRule="auto"/>
              <w:jc w:val="center"/>
              <w:rPr>
                <w:rFonts w:asciiTheme="minorEastAsia" w:eastAsiaTheme="minorEastAsia" w:hAnsiTheme="minorEastAsia"/>
                <w:color w:val="000000"/>
                <w:sz w:val="21"/>
                <w:szCs w:val="21"/>
              </w:rPr>
            </w:pPr>
          </w:p>
        </w:tc>
        <w:tc>
          <w:tcPr>
            <w:tcW w:w="524" w:type="dxa"/>
            <w:vMerge/>
            <w:tcBorders>
              <w:left w:val="nil"/>
              <w:bottom w:val="single" w:sz="4" w:space="0" w:color="000000"/>
              <w:right w:val="single" w:sz="4" w:space="0" w:color="000000"/>
            </w:tcBorders>
            <w:tcMar>
              <w:top w:w="10" w:type="dxa"/>
              <w:left w:w="10" w:type="dxa"/>
              <w:bottom w:w="0" w:type="dxa"/>
              <w:right w:w="10" w:type="dxa"/>
            </w:tcMar>
            <w:vAlign w:val="center"/>
          </w:tcPr>
          <w:p w14:paraId="3EEDD2D4" w14:textId="77777777" w:rsidR="00CB0E91" w:rsidRDefault="00CB0E91">
            <w:pPr>
              <w:spacing w:line="360" w:lineRule="auto"/>
              <w:jc w:val="center"/>
              <w:rPr>
                <w:rFonts w:asciiTheme="minorEastAsia" w:eastAsiaTheme="minorEastAsia" w:hAnsiTheme="minorEastAsia"/>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4BDF40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25岁及以下</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64737F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6</w:t>
            </w:r>
            <w:r>
              <w:rPr>
                <w:rFonts w:asciiTheme="minorEastAsia" w:eastAsiaTheme="minorEastAsia" w:hAnsiTheme="minorEastAsia"/>
                <w:color w:val="000000"/>
                <w:sz w:val="21"/>
                <w:szCs w:val="21"/>
              </w:rPr>
              <w:t>至35岁</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53AB18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36至45岁</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7B98E1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46至</w:t>
            </w:r>
            <w:r>
              <w:rPr>
                <w:rFonts w:asciiTheme="minorEastAsia" w:eastAsiaTheme="minorEastAsia" w:hAnsiTheme="minorEastAsia" w:hint="eastAsia"/>
                <w:color w:val="000000"/>
                <w:sz w:val="21"/>
                <w:szCs w:val="21"/>
              </w:rPr>
              <w:t>59</w:t>
            </w:r>
            <w:r>
              <w:rPr>
                <w:rFonts w:asciiTheme="minorEastAsia" w:eastAsiaTheme="minorEastAsia" w:hAnsiTheme="minorEastAsia"/>
                <w:color w:val="000000"/>
                <w:sz w:val="21"/>
                <w:szCs w:val="21"/>
              </w:rPr>
              <w:t>岁</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48CE07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60岁及以上</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8C4CC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博士学位教师</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06B8CA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硕士学位教师</w:t>
            </w:r>
          </w:p>
        </w:tc>
        <w:tc>
          <w:tcPr>
            <w:tcW w:w="796" w:type="dxa"/>
            <w:vMerge/>
            <w:tcBorders>
              <w:left w:val="nil"/>
              <w:bottom w:val="single" w:sz="4" w:space="0" w:color="000000"/>
              <w:right w:val="single" w:sz="4" w:space="0" w:color="000000"/>
            </w:tcBorders>
            <w:tcMar>
              <w:top w:w="10" w:type="dxa"/>
              <w:left w:w="10" w:type="dxa"/>
              <w:bottom w:w="0" w:type="dxa"/>
              <w:right w:w="10" w:type="dxa"/>
            </w:tcMar>
            <w:vAlign w:val="center"/>
          </w:tcPr>
          <w:p w14:paraId="48FF8210" w14:textId="77777777" w:rsidR="00CB0E91" w:rsidRDefault="00CB0E91">
            <w:pPr>
              <w:spacing w:line="360" w:lineRule="auto"/>
              <w:jc w:val="center"/>
              <w:rPr>
                <w:rFonts w:asciiTheme="minorEastAsia" w:eastAsiaTheme="minorEastAsia" w:hAnsiTheme="minorEastAsia"/>
                <w:color w:val="000000"/>
                <w:sz w:val="21"/>
                <w:szCs w:val="21"/>
              </w:rPr>
            </w:pPr>
          </w:p>
        </w:tc>
        <w:tc>
          <w:tcPr>
            <w:tcW w:w="797" w:type="dxa"/>
            <w:vMerge/>
            <w:tcBorders>
              <w:left w:val="nil"/>
              <w:bottom w:val="single" w:sz="4" w:space="0" w:color="000000"/>
              <w:right w:val="single" w:sz="4" w:space="0" w:color="000000"/>
            </w:tcBorders>
            <w:tcMar>
              <w:top w:w="10" w:type="dxa"/>
              <w:left w:w="10" w:type="dxa"/>
              <w:bottom w:w="0" w:type="dxa"/>
              <w:right w:w="10" w:type="dxa"/>
            </w:tcMar>
            <w:vAlign w:val="center"/>
          </w:tcPr>
          <w:p w14:paraId="0D2D7DC7" w14:textId="77777777" w:rsidR="00CB0E91" w:rsidRDefault="00CB0E91">
            <w:pPr>
              <w:spacing w:line="360" w:lineRule="auto"/>
              <w:jc w:val="center"/>
              <w:rPr>
                <w:rFonts w:asciiTheme="minorEastAsia" w:eastAsiaTheme="minorEastAsia" w:hAnsiTheme="minorEastAsia"/>
                <w:color w:val="000000"/>
                <w:sz w:val="21"/>
                <w:szCs w:val="21"/>
              </w:rPr>
            </w:pPr>
          </w:p>
        </w:tc>
        <w:tc>
          <w:tcPr>
            <w:tcW w:w="791" w:type="dxa"/>
            <w:vMerge/>
            <w:tcBorders>
              <w:left w:val="nil"/>
              <w:bottom w:val="single" w:sz="4" w:space="0" w:color="000000"/>
              <w:right w:val="single" w:sz="4" w:space="0" w:color="000000"/>
            </w:tcBorders>
            <w:tcMar>
              <w:top w:w="10" w:type="dxa"/>
              <w:left w:w="10" w:type="dxa"/>
              <w:bottom w:w="0" w:type="dxa"/>
              <w:right w:w="10" w:type="dxa"/>
            </w:tcMar>
            <w:vAlign w:val="center"/>
          </w:tcPr>
          <w:p w14:paraId="253EE63B" w14:textId="77777777" w:rsidR="00CB0E91" w:rsidRDefault="00CB0E91">
            <w:pPr>
              <w:spacing w:line="360" w:lineRule="auto"/>
              <w:jc w:val="center"/>
              <w:rPr>
                <w:rFonts w:asciiTheme="minorEastAsia" w:eastAsiaTheme="minorEastAsia" w:hAnsiTheme="minorEastAsia"/>
                <w:color w:val="000000"/>
                <w:sz w:val="21"/>
                <w:szCs w:val="21"/>
              </w:rPr>
            </w:pPr>
          </w:p>
        </w:tc>
      </w:tr>
      <w:tr w:rsidR="00CB0E91" w14:paraId="24193F16" w14:textId="77777777">
        <w:trPr>
          <w:trHeight w:val="239"/>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6D254F0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正高级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B55166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A49786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F9D2BD0"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BA691F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03AB4E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73AEBA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A6ED7B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957030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A1B816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C3F204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CC747C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p>
        </w:tc>
      </w:tr>
      <w:tr w:rsidR="00CB0E91" w14:paraId="1EF8C194" w14:textId="77777777">
        <w:trPr>
          <w:trHeight w:val="301"/>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779605C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副高级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167CA5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17</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5CAC7A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F5AD75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03235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270273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39E063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061F2A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8A7D09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8FAAA8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36C6C7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18AA56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p>
        </w:tc>
      </w:tr>
      <w:tr w:rsidR="00CB0E91" w14:paraId="6156F7D8" w14:textId="77777777">
        <w:trPr>
          <w:trHeight w:val="9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48271E1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中级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FBA0B3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F4DBD1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45BC8F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03A5D2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A13EFA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9DD3E0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7A11EA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B22E36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47A0F4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9A8E73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FBA18D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r>
      <w:tr w:rsidR="00CB0E91" w14:paraId="79A59BBB" w14:textId="77777777">
        <w:trPr>
          <w:trHeight w:val="18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606F053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其他</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E27F07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D40C4C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8C9949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856CC7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4EE8FA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F09C9C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58E44B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DEED22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E0132C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F05EBD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136429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r>
      <w:tr w:rsidR="00CB0E91" w14:paraId="6C0D1153" w14:textId="77777777">
        <w:trPr>
          <w:trHeight w:val="60"/>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61543EF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总计</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80017B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33</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69BAC9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D38EB4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BA7EFF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4AEC940"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24</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06B7E4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6D773E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287560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20</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CFBA82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24</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D6EABB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9BDA91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r>
    </w:tbl>
    <w:p w14:paraId="4C5E96E9" w14:textId="77777777" w:rsidR="00CB0E91" w:rsidRDefault="00CB0E91">
      <w:pPr>
        <w:widowControl/>
        <w:spacing w:line="360" w:lineRule="auto"/>
        <w:textAlignment w:val="baseline"/>
        <w:rPr>
          <w:rFonts w:ascii="仿宋_GB2312" w:eastAsia="仿宋_GB2312" w:hAnsi="黑体" w:cs="黑体"/>
          <w:b/>
          <w:szCs w:val="32"/>
        </w:rPr>
      </w:pPr>
    </w:p>
    <w:p w14:paraId="63D048ED" w14:textId="77777777" w:rsidR="00CB0E91" w:rsidRDefault="00AC5FF7">
      <w:pPr>
        <w:pStyle w:val="1"/>
        <w:spacing w:line="360" w:lineRule="auto"/>
      </w:pPr>
      <w:r>
        <w:rPr>
          <w:rFonts w:hint="eastAsia"/>
        </w:rPr>
        <w:t>二、研究生党建与思想政治教育</w:t>
      </w:r>
    </w:p>
    <w:p w14:paraId="488A9599"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（一）思想政治教育队伍建设</w:t>
      </w:r>
    </w:p>
    <w:p w14:paraId="0799DED6" w14:textId="77777777" w:rsidR="00CB0E91" w:rsidRDefault="00AC5FF7">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bCs/>
          <w:sz w:val="28"/>
          <w:szCs w:val="28"/>
        </w:rPr>
        <w:t>新时期加强思想政治工作，必须建设一支“政治强、业务精、作风正”的思想政治工作队伍。</w:t>
      </w:r>
      <w:r>
        <w:rPr>
          <w:rStyle w:val="NormalCharacter"/>
          <w:rFonts w:ascii="宋体" w:eastAsia="宋体" w:hAnsi="宋体" w:cs="宋体" w:hint="eastAsia"/>
          <w:bCs/>
          <w:sz w:val="28"/>
          <w:szCs w:val="28"/>
        </w:rPr>
        <w:t>本专业</w:t>
      </w:r>
      <w:r>
        <w:rPr>
          <w:rStyle w:val="NormalCharacter"/>
          <w:rFonts w:ascii="宋体" w:eastAsia="宋体" w:hAnsi="宋体" w:cs="宋体"/>
          <w:bCs/>
          <w:sz w:val="28"/>
          <w:szCs w:val="28"/>
        </w:rPr>
        <w:t>对思想政治教育相关从业人员建立了一整套完善的人员选配、培训和考核机制，极大地提高了相关岗位的准入门槛。只有认同社会主义核心价值体系，能够自觉</w:t>
      </w:r>
      <w:proofErr w:type="gramStart"/>
      <w:r>
        <w:rPr>
          <w:rStyle w:val="NormalCharacter"/>
          <w:rFonts w:ascii="宋体" w:eastAsia="宋体" w:hAnsi="宋体" w:cs="宋体"/>
          <w:bCs/>
          <w:sz w:val="28"/>
          <w:szCs w:val="28"/>
        </w:rPr>
        <w:t>践行</w:t>
      </w:r>
      <w:proofErr w:type="gramEnd"/>
      <w:r>
        <w:rPr>
          <w:rStyle w:val="NormalCharacter"/>
          <w:rFonts w:ascii="宋体" w:eastAsia="宋体" w:hAnsi="宋体" w:cs="宋体"/>
          <w:bCs/>
          <w:sz w:val="28"/>
          <w:szCs w:val="28"/>
        </w:rPr>
        <w:t>社会主义核心价值观，政治立场坚定，具有较高职业道德水平的人才能够走上高校思想政治教育相关工作岗位。通过严格的人员选配，基本上建立了一支政治立场坚定，具备从事高校思想政治教育的基础理论和专业知识，具有较强的人际沟通能力和组织协调能力的专业化的思想政治教育队伍。</w:t>
      </w:r>
      <w:r>
        <w:rPr>
          <w:rStyle w:val="NormalCharacter"/>
          <w:rFonts w:ascii="宋体" w:eastAsia="宋体" w:hAnsi="宋体" w:cs="宋体" w:hint="eastAsia"/>
          <w:bCs/>
          <w:sz w:val="28"/>
          <w:szCs w:val="28"/>
        </w:rPr>
        <w:t>本学位点</w:t>
      </w:r>
      <w:r>
        <w:rPr>
          <w:rStyle w:val="NormalCharacter"/>
          <w:rFonts w:ascii="宋体" w:eastAsia="宋体" w:hAnsi="宋体" w:cs="宋体"/>
          <w:bCs/>
          <w:sz w:val="28"/>
          <w:szCs w:val="28"/>
        </w:rPr>
        <w:t>还通过组织各种形式的学习培训，帮助年轻教师提高能力素养，增强政治敏锐性和政治鉴别力，增强做好工作的责任感和使命感。建立健全培训机制，推进思想政治工作队伍学习培训制度化、法制化建设，针对思想政治工作专业的学习培训目标、特点和要求，设置基础理论课程、专业理论课程和辅助知识课程，建立一支专兼职相结合的高质量的师资队伍，注意培养和选拔一批有实际工作经验和教学能力的教师。鼓励从事思想政治教育工作的教师总结和凝练日常工作的经验和心得体</w:t>
      </w:r>
      <w:r>
        <w:rPr>
          <w:rStyle w:val="NormalCharacter"/>
          <w:rFonts w:ascii="宋体" w:eastAsia="宋体" w:hAnsi="宋体" w:cs="宋体"/>
          <w:bCs/>
          <w:sz w:val="28"/>
          <w:szCs w:val="28"/>
        </w:rPr>
        <w:lastRenderedPageBreak/>
        <w:t>会，鼓励他们开展学术研究</w:t>
      </w:r>
      <w:r>
        <w:rPr>
          <w:rStyle w:val="NormalCharacter"/>
          <w:rFonts w:ascii="宋体" w:eastAsia="宋体" w:hAnsi="宋体" w:cs="宋体" w:hint="eastAsia"/>
          <w:bCs/>
          <w:sz w:val="28"/>
          <w:szCs w:val="28"/>
        </w:rPr>
        <w:t>，</w:t>
      </w:r>
      <w:r>
        <w:rPr>
          <w:rStyle w:val="NormalCharacter"/>
          <w:rFonts w:ascii="宋体" w:eastAsia="宋体" w:hAnsi="宋体" w:cs="宋体"/>
          <w:bCs/>
          <w:sz w:val="28"/>
          <w:szCs w:val="28"/>
        </w:rPr>
        <w:t>在职称评聘过程当中将其与专业课教师分开，设立专门的“思政”系列，制定单独的评选考核办法</w:t>
      </w:r>
      <w:r>
        <w:rPr>
          <w:rStyle w:val="NormalCharacter"/>
          <w:rFonts w:ascii="宋体" w:eastAsia="宋体" w:hAnsi="宋体" w:cs="宋体" w:hint="eastAsia"/>
          <w:bCs/>
          <w:sz w:val="28"/>
          <w:szCs w:val="28"/>
        </w:rPr>
        <w:t>。</w:t>
      </w:r>
    </w:p>
    <w:p w14:paraId="35065976" w14:textId="77777777" w:rsidR="00CB0E91" w:rsidRDefault="00AC5FF7">
      <w:pPr>
        <w:spacing w:line="360" w:lineRule="auto"/>
        <w:ind w:firstLineChars="200" w:firstLine="562"/>
        <w:rPr>
          <w:rFonts w:asciiTheme="minorHAnsi" w:eastAsiaTheme="minorEastAsia" w:hAnsiTheme="minorHAnsi" w:cstheme="minorBidi"/>
          <w:b/>
          <w:sz w:val="28"/>
          <w:szCs w:val="36"/>
        </w:rPr>
      </w:pPr>
      <w:r>
        <w:rPr>
          <w:rFonts w:asciiTheme="minorHAnsi" w:eastAsiaTheme="minorEastAsia" w:hAnsiTheme="minorHAnsi" w:cstheme="minorBidi" w:hint="eastAsia"/>
          <w:b/>
          <w:sz w:val="28"/>
          <w:szCs w:val="36"/>
        </w:rPr>
        <w:t>（二）</w:t>
      </w:r>
      <w:r>
        <w:rPr>
          <w:rFonts w:asciiTheme="minorHAnsi" w:eastAsiaTheme="minorEastAsia" w:hAnsiTheme="minorHAnsi" w:cstheme="minorBidi"/>
          <w:b/>
          <w:sz w:val="28"/>
          <w:szCs w:val="36"/>
        </w:rPr>
        <w:t>理想信念和社会主义核心价值观教育</w:t>
      </w:r>
    </w:p>
    <w:p w14:paraId="4FA2D3AA" w14:textId="77777777" w:rsidR="00CB0E91" w:rsidRDefault="00AC5FF7">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bCs/>
          <w:sz w:val="28"/>
          <w:szCs w:val="28"/>
        </w:rPr>
        <w:t>研究生群体作为国家未来发展的中坚力量，加强研究生的理想信念和社会主义核心价值观教育是培养社会主义合格接班人，改进研究生思想政治教育和推动研究生自身全面发展的重要需求。</w:t>
      </w:r>
      <w:r>
        <w:rPr>
          <w:rStyle w:val="NormalCharacter"/>
          <w:rFonts w:ascii="宋体" w:eastAsia="宋体" w:hAnsi="宋体" w:cs="宋体" w:hint="eastAsia"/>
          <w:bCs/>
          <w:sz w:val="28"/>
          <w:szCs w:val="28"/>
        </w:rPr>
        <w:t>本学位点</w:t>
      </w:r>
      <w:r>
        <w:rPr>
          <w:rStyle w:val="NormalCharacter"/>
          <w:rFonts w:ascii="宋体" w:eastAsia="宋体" w:hAnsi="宋体" w:cs="宋体"/>
          <w:bCs/>
          <w:sz w:val="28"/>
          <w:szCs w:val="28"/>
        </w:rPr>
        <w:t>始终坚持德育为先，立德树人，知行统一，将研究生的理想信念和思想政治教育融入到研究生的日常教学科研与管理工作中，调动研究生培养的多方力量，开展多种多样的教育实践活动，引导研究生树立正确价值观，有效宣传、培育和</w:t>
      </w:r>
      <w:proofErr w:type="gramStart"/>
      <w:r>
        <w:rPr>
          <w:rStyle w:val="NormalCharacter"/>
          <w:rFonts w:ascii="宋体" w:eastAsia="宋体" w:hAnsi="宋体" w:cs="宋体"/>
          <w:bCs/>
          <w:sz w:val="28"/>
          <w:szCs w:val="28"/>
        </w:rPr>
        <w:t>践行</w:t>
      </w:r>
      <w:proofErr w:type="gramEnd"/>
      <w:r>
        <w:rPr>
          <w:rStyle w:val="NormalCharacter"/>
          <w:rFonts w:ascii="宋体" w:eastAsia="宋体" w:hAnsi="宋体" w:cs="宋体"/>
          <w:bCs/>
          <w:sz w:val="28"/>
          <w:szCs w:val="28"/>
        </w:rPr>
        <w:t>社会主义核心价值观。坚持以“立德树人”为根本，明确立德是师生共同课题，着力构建全员育人、全程育人、全方位育人的三全育人体系，努力做到意识</w:t>
      </w:r>
      <w:r>
        <w:rPr>
          <w:rStyle w:val="NormalCharacter"/>
          <w:rFonts w:ascii="宋体" w:eastAsia="宋体" w:hAnsi="宋体" w:cs="宋体" w:hint="eastAsia"/>
          <w:bCs/>
          <w:sz w:val="28"/>
          <w:szCs w:val="28"/>
        </w:rPr>
        <w:t>形态管理到位，思想认识到位，组织保障到位。</w:t>
      </w:r>
    </w:p>
    <w:p w14:paraId="349F0BC2" w14:textId="77777777" w:rsidR="00CB0E91" w:rsidRDefault="00AC5FF7">
      <w:pPr>
        <w:spacing w:line="360" w:lineRule="auto"/>
        <w:ind w:firstLineChars="200" w:firstLine="562"/>
        <w:rPr>
          <w:rFonts w:asciiTheme="minorHAnsi" w:eastAsiaTheme="minorEastAsia" w:hAnsiTheme="minorHAnsi" w:cstheme="minorBidi"/>
          <w:b/>
          <w:sz w:val="28"/>
          <w:szCs w:val="36"/>
        </w:rPr>
      </w:pPr>
      <w:r>
        <w:rPr>
          <w:rFonts w:asciiTheme="minorHAnsi" w:eastAsiaTheme="minorEastAsia" w:hAnsiTheme="minorHAnsi" w:cstheme="minorBidi" w:hint="eastAsia"/>
          <w:b/>
          <w:sz w:val="28"/>
          <w:szCs w:val="36"/>
        </w:rPr>
        <w:t>（三）学位点文化建设</w:t>
      </w:r>
    </w:p>
    <w:p w14:paraId="5492D3A3" w14:textId="77777777" w:rsidR="00CB0E91" w:rsidRDefault="00AC5FF7">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hint="eastAsia"/>
          <w:bCs/>
          <w:sz w:val="28"/>
          <w:szCs w:val="28"/>
        </w:rPr>
        <w:t>研究生是高校校园文化建设的重要力量，研究生的整体精神面貌深切反映高校校园文化主流形态。为使研究生积极投身校园文化建设，提升校园文化的层次和品位，促进健康向上的高校主流校园文化发展和积淀，发挥校园文化积极的育人导向功能，本学位点切实关注研究生群体的实际需求，</w:t>
      </w:r>
      <w:proofErr w:type="gramStart"/>
      <w:r>
        <w:rPr>
          <w:rStyle w:val="NormalCharacter"/>
          <w:rFonts w:ascii="宋体" w:eastAsia="宋体" w:hAnsi="宋体" w:cs="宋体" w:hint="eastAsia"/>
          <w:bCs/>
          <w:sz w:val="28"/>
          <w:szCs w:val="28"/>
        </w:rPr>
        <w:t>凸</w:t>
      </w:r>
      <w:proofErr w:type="gramEnd"/>
      <w:r>
        <w:rPr>
          <w:rStyle w:val="NormalCharacter"/>
          <w:rFonts w:ascii="宋体" w:eastAsia="宋体" w:hAnsi="宋体" w:cs="宋体" w:hint="eastAsia"/>
          <w:bCs/>
          <w:sz w:val="28"/>
          <w:szCs w:val="28"/>
        </w:rPr>
        <w:t>显学校的教育文化特色，营造研究生成长成才的和谐校园文化氛围，同时加强校园网络文化和安全文明建设，有效开展各项教育活动。</w:t>
      </w:r>
    </w:p>
    <w:p w14:paraId="1FCDFCF8"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lastRenderedPageBreak/>
        <w:t>在2</w:t>
      </w:r>
      <w:r>
        <w:rPr>
          <w:rStyle w:val="NormalCharacter"/>
          <w:rFonts w:ascii="宋体" w:eastAsia="宋体" w:hAnsi="宋体" w:cs="宋体"/>
          <w:bCs/>
          <w:sz w:val="28"/>
          <w:szCs w:val="28"/>
        </w:rPr>
        <w:t>021</w:t>
      </w:r>
      <w:r>
        <w:rPr>
          <w:rStyle w:val="NormalCharacter"/>
          <w:rFonts w:ascii="宋体" w:eastAsia="宋体" w:hAnsi="宋体" w:cs="宋体" w:hint="eastAsia"/>
          <w:bCs/>
          <w:sz w:val="28"/>
          <w:szCs w:val="28"/>
        </w:rPr>
        <w:t>年9月，本学位点开展了2021级旅游学院硕士研究生入学教育，帮助研究生更好地适应新学期生活，规范研究生日常管理。在2</w:t>
      </w:r>
      <w:r>
        <w:rPr>
          <w:rStyle w:val="NormalCharacter"/>
          <w:rFonts w:ascii="宋体" w:eastAsia="宋体" w:hAnsi="宋体" w:cs="宋体"/>
          <w:bCs/>
          <w:sz w:val="28"/>
          <w:szCs w:val="28"/>
        </w:rPr>
        <w:t>021</w:t>
      </w:r>
      <w:r>
        <w:rPr>
          <w:rStyle w:val="NormalCharacter"/>
          <w:rFonts w:ascii="宋体" w:eastAsia="宋体" w:hAnsi="宋体" w:cs="宋体" w:hint="eastAsia"/>
          <w:bCs/>
          <w:sz w:val="28"/>
          <w:szCs w:val="28"/>
        </w:rPr>
        <w:t>年1</w:t>
      </w:r>
      <w:r>
        <w:rPr>
          <w:rStyle w:val="NormalCharacter"/>
          <w:rFonts w:ascii="宋体" w:eastAsia="宋体" w:hAnsi="宋体" w:cs="宋体"/>
          <w:bCs/>
          <w:sz w:val="28"/>
          <w:szCs w:val="28"/>
        </w:rPr>
        <w:t>2</w:t>
      </w:r>
      <w:r>
        <w:rPr>
          <w:rStyle w:val="NormalCharacter"/>
          <w:rFonts w:ascii="宋体" w:eastAsia="宋体" w:hAnsi="宋体" w:cs="宋体" w:hint="eastAsia"/>
          <w:bCs/>
          <w:sz w:val="28"/>
          <w:szCs w:val="28"/>
        </w:rPr>
        <w:t>月，举办江西科技师范大学教育学部首届研究生学术论坛，内容包括当前教育研究热点及未来研究需要关注的重点、实证研究及数理实证、AI+教师素养发展的新时代、新图景与新挑战、职教高考制度体系的构建等内容。</w:t>
      </w:r>
    </w:p>
    <w:p w14:paraId="3C6E6706" w14:textId="77777777" w:rsidR="00CB0E91" w:rsidRDefault="00AC5FF7">
      <w:pPr>
        <w:spacing w:line="360" w:lineRule="auto"/>
        <w:ind w:firstLineChars="200" w:firstLine="562"/>
        <w:rPr>
          <w:rFonts w:asciiTheme="minorHAnsi" w:eastAsiaTheme="minorEastAsia" w:hAnsiTheme="minorHAnsi" w:cstheme="minorBidi"/>
          <w:b/>
          <w:sz w:val="28"/>
          <w:szCs w:val="36"/>
        </w:rPr>
      </w:pPr>
      <w:r>
        <w:rPr>
          <w:rFonts w:asciiTheme="minorHAnsi" w:eastAsiaTheme="minorEastAsia" w:hAnsiTheme="minorHAnsi" w:cstheme="minorBidi" w:hint="eastAsia"/>
          <w:b/>
          <w:sz w:val="28"/>
          <w:szCs w:val="36"/>
        </w:rPr>
        <w:t>（四）日常管理服务工作</w:t>
      </w:r>
    </w:p>
    <w:p w14:paraId="72731C1B"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本院重视研究生日常管理工作及研究生教育管理队伍建设，提升管理队伍水平，加强日常管理工作，提高服务质量。</w:t>
      </w:r>
    </w:p>
    <w:p w14:paraId="450A2A39" w14:textId="77777777" w:rsidR="00CB0E91" w:rsidRDefault="00AC5FF7" w:rsidP="0005039B">
      <w:pPr>
        <w:spacing w:line="360" w:lineRule="auto"/>
        <w:ind w:firstLineChars="200" w:firstLine="560"/>
        <w:rPr>
          <w:rStyle w:val="NormalCharacter"/>
          <w:rFonts w:ascii="仿宋_GB2312" w:eastAsia="仿宋_GB2312" w:hAnsi="黑体" w:cs="黑体"/>
          <w:b/>
          <w:sz w:val="32"/>
          <w:highlight w:val="green"/>
        </w:rPr>
      </w:pPr>
      <w:r>
        <w:rPr>
          <w:rStyle w:val="NormalCharacter"/>
          <w:rFonts w:ascii="宋体" w:eastAsia="宋体" w:hAnsi="宋体" w:cs="宋体" w:hint="eastAsia"/>
          <w:bCs/>
          <w:sz w:val="28"/>
          <w:szCs w:val="28"/>
        </w:rPr>
        <w:t>本院共有研究生管理人员4人，其中MTA教育中心主任1名；学科办主任1名，主要负责教学方面的事务；专职班主任1名，负责研究生的思想政治工作；教学秘书1名，负责MTA研究生培养的日常管理工作。</w:t>
      </w:r>
      <w:r>
        <w:rPr>
          <w:rFonts w:ascii="宋体" w:eastAsia="宋体" w:hAnsi="宋体" w:cs="宋体" w:hint="eastAsia"/>
          <w:bCs/>
          <w:sz w:val="28"/>
          <w:szCs w:val="28"/>
        </w:rPr>
        <w:t>在研究生教育管理方面，本院制定了《江西科技师范大学旅游管理硕士（MTA）参加学术活动的暂行规定（试行）》、《江西科技师范大学旅游管理硕士（MTA）攻读学位期间发表论文奖励办法》、《江西科技师范大学旅游管理硕士（MTA）国家奖学金评选办法实施细则》、《江西科技师范大学旅游管理硕士（MTA）国家助学金管理暂行办法》等相关文件，切实保障研究生在学术活动、发表论文、奖助学金等方面的权益，强化研究生日常管理工作。</w:t>
      </w:r>
    </w:p>
    <w:p w14:paraId="3202B4A2" w14:textId="77777777" w:rsidR="00CB0E91" w:rsidRDefault="00AC5FF7">
      <w:pPr>
        <w:pStyle w:val="1"/>
        <w:spacing w:line="360" w:lineRule="auto"/>
        <w:rPr>
          <w:rStyle w:val="NormalCharacter"/>
          <w:rFonts w:asciiTheme="minorEastAsia" w:eastAsiaTheme="minorEastAsia" w:hAnsiTheme="minorEastAsia"/>
          <w:b w:val="0"/>
          <w:sz w:val="32"/>
        </w:rPr>
      </w:pPr>
      <w:r>
        <w:rPr>
          <w:rFonts w:hint="eastAsia"/>
        </w:rPr>
        <w:lastRenderedPageBreak/>
        <w:t>三、研究生培养相关制度及执行情况</w:t>
      </w:r>
    </w:p>
    <w:p w14:paraId="2CD88238"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（一）课程建设与实施情况</w:t>
      </w:r>
    </w:p>
    <w:p w14:paraId="0908703E" w14:textId="77777777" w:rsidR="00CB0E91" w:rsidRDefault="00AC5FF7" w:rsidP="0005039B">
      <w:pPr>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根据国家教指委MTA指导性培养方案的要求，旅游管理专业学位授权点结合江西科技师范大学的实际情况，明确了课程体系设置的总体思路，课程设置体现理论与实践相结合的原则，以实际应用为导向，以职业需求为目标，以综合素养和应用知识与能力的提高为核心，同时依托江西科技师范大学职教学科优势，凸显“地域文化特色”和“乡村旅游特色”，在理论与实践培养中渗透职教师资素养教育，使学生通过课程教学，能够获得扎实深厚的理论基础知识、专业技能和职教师范教育能力。专业硕士培养方案课程设置体现出“一个目标、二类课程、三个专业方向、四门备选课程”的特点。一个目标：培养高层次应用型人才；二类课程：必修课（公共必修课、专业基础课、专业核心课、实践必修课）、选修课；三个方向：旅游教育、乡村休闲发展规划与战略、旅游文化产业管理；四门备选课程：每个专业方向均有4门以上备选课程。依托江西省乡村旅游发展研究中心，推行“院企”共建MTA教育新模式，以参与研究项目的形式加强学生的实践实训教学；同时购置、收集、编制、准备了MTA理论参考教学资料和实践案例教学资源，有效保障了MTA课程教学工作的正常开展。</w:t>
      </w:r>
    </w:p>
    <w:p w14:paraId="23C6C275"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（二）导师选拔培训</w:t>
      </w:r>
    </w:p>
    <w:p w14:paraId="1B1EC45E"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1.制订专门的导师聘用办法，效率优先兼顾公平</w:t>
      </w:r>
    </w:p>
    <w:p w14:paraId="06601707"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lastRenderedPageBreak/>
        <w:t>针对旅游</w:t>
      </w:r>
      <w:proofErr w:type="gramStart"/>
      <w:r>
        <w:rPr>
          <w:rStyle w:val="NormalCharacter"/>
          <w:rFonts w:ascii="宋体" w:eastAsia="宋体" w:hAnsi="宋体" w:cs="宋体" w:hint="eastAsia"/>
          <w:bCs/>
          <w:sz w:val="28"/>
          <w:szCs w:val="28"/>
        </w:rPr>
        <w:t>管理专硕导师</w:t>
      </w:r>
      <w:proofErr w:type="gramEnd"/>
      <w:r>
        <w:rPr>
          <w:rStyle w:val="NormalCharacter"/>
          <w:rFonts w:ascii="宋体" w:eastAsia="宋体" w:hAnsi="宋体" w:cs="宋体" w:hint="eastAsia"/>
          <w:bCs/>
          <w:sz w:val="28"/>
          <w:szCs w:val="28"/>
        </w:rPr>
        <w:t>选聘，制订专门的导师聘用办法，鼓励并支持学术能力强的教师承担更多的指导工作，同时尽可能保证导师团队成员在三年内有硕士生可以带。导师组由校内导师、实践导师代表共同组成。在旅游行业部门选聘一批具有高级职称、丰富实践经验的专家型教师担任实践导师。MTA校内导师基本条件：</w:t>
      </w:r>
    </w:p>
    <w:p w14:paraId="2F6028F5"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在指导的专业领域有突出的技术成果，所从事的研究课题有重要的实际应用价值，并被行业或企业采用，有丰富的实践经验，具有解决所属专业学位领域实际问题和提升实践技术的能力，能及时掌握本领域的研究动态和技术前沿的发展趋势。专业型博士导师需有2年培养或作为合作导师培养研究生的经历（引进人才除外），</w:t>
      </w:r>
      <w:proofErr w:type="gramStart"/>
      <w:r>
        <w:rPr>
          <w:rStyle w:val="NormalCharacter"/>
          <w:rFonts w:ascii="宋体" w:eastAsia="宋体" w:hAnsi="宋体" w:cs="宋体" w:hint="eastAsia"/>
          <w:bCs/>
          <w:sz w:val="28"/>
          <w:szCs w:val="28"/>
        </w:rPr>
        <w:t>且培养</w:t>
      </w:r>
      <w:proofErr w:type="gramEnd"/>
      <w:r>
        <w:rPr>
          <w:rStyle w:val="NormalCharacter"/>
          <w:rFonts w:ascii="宋体" w:eastAsia="宋体" w:hAnsi="宋体" w:cs="宋体" w:hint="eastAsia"/>
          <w:bCs/>
          <w:sz w:val="28"/>
          <w:szCs w:val="28"/>
        </w:rPr>
        <w:t>质量较好。</w:t>
      </w:r>
    </w:p>
    <w:p w14:paraId="17100870"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2.强化导师队伍的培养培训，打造“双师型”导师队伍</w:t>
      </w:r>
    </w:p>
    <w:p w14:paraId="5D206476" w14:textId="77777777" w:rsidR="00CB0E91" w:rsidRDefault="00AC5FF7" w:rsidP="0005039B">
      <w:pPr>
        <w:spacing w:before="60" w:after="60"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选派专业教师“走出去”到企业挂职锻炼，“请进来”一批旅游行业一线高层次人才充实教学团队，培养“双师”素质教学团队。在2021年7月4日-7月13日，本专业教师参加了北京第二外国语大学旅游科学学院主办的2021年全国旅游管理专业师资培训班（北京），向优秀教师学习，不断提高自身的教学水平。</w:t>
      </w:r>
    </w:p>
    <w:p w14:paraId="3EBAF06A"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（三）师德师风建设情况</w:t>
      </w:r>
    </w:p>
    <w:p w14:paraId="24A5DB6A" w14:textId="77777777" w:rsidR="00CB0E91" w:rsidRDefault="00AC5FF7" w:rsidP="0005039B">
      <w:pPr>
        <w:spacing w:line="360" w:lineRule="auto"/>
        <w:ind w:firstLineChars="200" w:firstLine="560"/>
        <w:rPr>
          <w:rStyle w:val="NormalCharacter"/>
          <w:rFonts w:ascii="宋体" w:eastAsia="宋体" w:hAnsi="宋体" w:cs="宋体"/>
          <w:sz w:val="28"/>
          <w:szCs w:val="28"/>
        </w:rPr>
      </w:pPr>
      <w:r>
        <w:rPr>
          <w:rStyle w:val="NormalCharacter"/>
          <w:rFonts w:ascii="宋体" w:eastAsia="宋体" w:hAnsi="宋体" w:cs="宋体" w:hint="eastAsia"/>
          <w:sz w:val="28"/>
          <w:szCs w:val="28"/>
        </w:rPr>
        <w:t>1.师德师风建设机制</w:t>
      </w:r>
    </w:p>
    <w:p w14:paraId="09DF413C"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（1）坚持高标准推动</w:t>
      </w:r>
    </w:p>
    <w:p w14:paraId="54D65876"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坚持以习近平新时代中国特色社会主义思想为指导，深入贯彻落</w:t>
      </w:r>
      <w:r>
        <w:rPr>
          <w:rStyle w:val="NormalCharacter"/>
          <w:rFonts w:ascii="宋体" w:eastAsia="宋体" w:hAnsi="宋体" w:cs="宋体" w:hint="eastAsia"/>
          <w:bCs/>
          <w:sz w:val="28"/>
          <w:szCs w:val="28"/>
        </w:rPr>
        <w:lastRenderedPageBreak/>
        <w:t>实中共中央、国务院《关于全面深化新时代教师队伍建设改革的意见》、省委省政府《关于全面深化新时代教师队伍建设改革的实施意见》和教育部《新时代高校教师职业行为十项准则》等，坚持“机制保障、制度涵养、学习教育、实践养成、典型示范”五位一体的师德建设工作思路，完善新时代师德建设长效机制，推进师德师风建设工作常态化、长效化，营造风清气正的教育生态，师德师风呈现较好的面貌。健全完善了师德培养、师德宣传、师德考核、师德监督、师德激励等方面的工作制度。健全完善考核机制，实行师德考核“一票否决”制。</w:t>
      </w:r>
    </w:p>
    <w:p w14:paraId="3E0C9383"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（2）摸清师德师风家底</w:t>
      </w:r>
    </w:p>
    <w:p w14:paraId="0383F0F8"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每学期开学初，学科点开展师生思想政治状况调研，及时了解每位学科点教师的师德情况。建立监督信箱和举报电话等师德投诉举报平台，畅通师德监督渠道，建立健全师德问题报告机制。为有效防止师德失范行为，做到每月定期排查和敏感时节点重点排查教师思想动态，发现问题第一时间上报。学科研究生管理办公室强化研究生培养的课堂教学管理，建立课堂管理制度。院教学督导检查组不定期检查、调阅教学监控录像、学生信息员报告教学信息等形式，健全课堂和教学纪律监控机制，发现问题及时处理。</w:t>
      </w:r>
    </w:p>
    <w:p w14:paraId="77C00E8A"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（3）以活动促师德提升</w:t>
      </w:r>
    </w:p>
    <w:p w14:paraId="1DFACA08"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学科在师德师风建设方面，开展师德建设月活动，组织教师学</w:t>
      </w:r>
      <w:proofErr w:type="gramStart"/>
      <w:r>
        <w:rPr>
          <w:rStyle w:val="NormalCharacter"/>
          <w:rFonts w:ascii="宋体" w:eastAsia="宋体" w:hAnsi="宋体" w:cs="宋体" w:hint="eastAsia"/>
          <w:bCs/>
          <w:sz w:val="28"/>
          <w:szCs w:val="28"/>
        </w:rPr>
        <w:t>习习近</w:t>
      </w:r>
      <w:proofErr w:type="gramEnd"/>
      <w:r>
        <w:rPr>
          <w:rStyle w:val="NormalCharacter"/>
          <w:rFonts w:ascii="宋体" w:eastAsia="宋体" w:hAnsi="宋体" w:cs="宋体" w:hint="eastAsia"/>
          <w:bCs/>
          <w:sz w:val="28"/>
          <w:szCs w:val="28"/>
        </w:rPr>
        <w:t>平总书记</w:t>
      </w:r>
      <w:proofErr w:type="gramStart"/>
      <w:r>
        <w:rPr>
          <w:rStyle w:val="NormalCharacter"/>
          <w:rFonts w:ascii="宋体" w:eastAsia="宋体" w:hAnsi="宋体" w:cs="宋体" w:hint="eastAsia"/>
          <w:bCs/>
          <w:sz w:val="28"/>
          <w:szCs w:val="28"/>
        </w:rPr>
        <w:t>思政课</w:t>
      </w:r>
      <w:proofErr w:type="gramEnd"/>
      <w:r>
        <w:rPr>
          <w:rStyle w:val="NormalCharacter"/>
          <w:rFonts w:ascii="宋体" w:eastAsia="宋体" w:hAnsi="宋体" w:cs="宋体" w:hint="eastAsia"/>
          <w:bCs/>
          <w:sz w:val="28"/>
          <w:szCs w:val="28"/>
        </w:rPr>
        <w:t>教师座谈会上的重要讲话精神、习近平总书记等中央领导同志教师节重要讲话精神，新时代高校教师职业行为十项准</w:t>
      </w:r>
      <w:r>
        <w:rPr>
          <w:rStyle w:val="NormalCharacter"/>
          <w:rFonts w:ascii="宋体" w:eastAsia="宋体" w:hAnsi="宋体" w:cs="宋体" w:hint="eastAsia"/>
          <w:bCs/>
          <w:sz w:val="28"/>
          <w:szCs w:val="28"/>
        </w:rPr>
        <w:lastRenderedPageBreak/>
        <w:t>则、江西省高校教师师德失范行为处理办法、江西省高等学校课堂教学纪律管理办法等。在日常教育中，把倡导教师发扬“学高为师、德高为范”的师范传统精神，树立“学以致用、精益求精”，对“职业”锲而不舍、追求卓越的精神风貌融入到各项工作中，并</w:t>
      </w:r>
      <w:proofErr w:type="gramStart"/>
      <w:r>
        <w:rPr>
          <w:rStyle w:val="NormalCharacter"/>
          <w:rFonts w:ascii="宋体" w:eastAsia="宋体" w:hAnsi="宋体" w:cs="宋体" w:hint="eastAsia"/>
          <w:bCs/>
          <w:sz w:val="28"/>
          <w:szCs w:val="28"/>
        </w:rPr>
        <w:t>一</w:t>
      </w:r>
      <w:proofErr w:type="gramEnd"/>
      <w:r>
        <w:rPr>
          <w:rStyle w:val="NormalCharacter"/>
          <w:rFonts w:ascii="宋体" w:eastAsia="宋体" w:hAnsi="宋体" w:cs="宋体" w:hint="eastAsia"/>
          <w:bCs/>
          <w:sz w:val="28"/>
          <w:szCs w:val="28"/>
        </w:rPr>
        <w:t>以贯之。</w:t>
      </w:r>
    </w:p>
    <w:p w14:paraId="39255F29" w14:textId="77777777" w:rsidR="00CB0E91" w:rsidRDefault="00AC5FF7">
      <w:pPr>
        <w:spacing w:line="360" w:lineRule="auto"/>
        <w:ind w:firstLineChars="200" w:firstLine="560"/>
        <w:jc w:val="left"/>
        <w:rPr>
          <w:rStyle w:val="NormalCharacter"/>
          <w:rFonts w:ascii="宋体" w:eastAsia="宋体" w:hAnsi="宋体" w:cs="宋体"/>
          <w:sz w:val="28"/>
          <w:szCs w:val="28"/>
        </w:rPr>
      </w:pPr>
      <w:r>
        <w:rPr>
          <w:rStyle w:val="NormalCharacter"/>
          <w:rFonts w:ascii="宋体" w:eastAsia="宋体" w:hAnsi="宋体" w:cs="宋体" w:hint="eastAsia"/>
          <w:sz w:val="28"/>
          <w:szCs w:val="28"/>
        </w:rPr>
        <w:t>2.师德师风建设成效</w:t>
      </w:r>
    </w:p>
    <w:p w14:paraId="69C081F5" w14:textId="77777777" w:rsidR="00CB0E91" w:rsidRDefault="00AC5FF7" w:rsidP="0005039B">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通过建立完善的师德师风建设机制，师德师风取得了一定的成效，具体表现在：第一，组织学科专任教师参加师德师</w:t>
      </w:r>
      <w:proofErr w:type="gramStart"/>
      <w:r>
        <w:rPr>
          <w:rStyle w:val="NormalCharacter"/>
          <w:rFonts w:ascii="宋体" w:eastAsia="宋体" w:hAnsi="宋体" w:cs="宋体" w:hint="eastAsia"/>
          <w:bCs/>
          <w:sz w:val="28"/>
          <w:szCs w:val="28"/>
        </w:rPr>
        <w:t>风考核</w:t>
      </w:r>
      <w:proofErr w:type="gramEnd"/>
      <w:r>
        <w:rPr>
          <w:rStyle w:val="NormalCharacter"/>
          <w:rFonts w:ascii="宋体" w:eastAsia="宋体" w:hAnsi="宋体" w:cs="宋体" w:hint="eastAsia"/>
          <w:bCs/>
          <w:sz w:val="28"/>
          <w:szCs w:val="28"/>
        </w:rPr>
        <w:t>工作，考核结果为优秀80%，无不合格人员；第二，在学校的优秀教师、师德标兵、“十佳教师”评选中，专任教师中有10多人获得相关荣誉；第三，教师能够积极开展课程思政，80%的课程完成了</w:t>
      </w:r>
      <w:proofErr w:type="gramStart"/>
      <w:r>
        <w:rPr>
          <w:rStyle w:val="NormalCharacter"/>
          <w:rFonts w:ascii="宋体" w:eastAsia="宋体" w:hAnsi="宋体" w:cs="宋体" w:hint="eastAsia"/>
          <w:bCs/>
          <w:sz w:val="28"/>
          <w:szCs w:val="28"/>
        </w:rPr>
        <w:t>课程思政改革</w:t>
      </w:r>
      <w:proofErr w:type="gramEnd"/>
      <w:r>
        <w:rPr>
          <w:rStyle w:val="NormalCharacter"/>
          <w:rFonts w:ascii="宋体" w:eastAsia="宋体" w:hAnsi="宋体" w:cs="宋体" w:hint="eastAsia"/>
          <w:bCs/>
          <w:sz w:val="28"/>
          <w:szCs w:val="28"/>
        </w:rPr>
        <w:t>，做到了春风化雨，润物无声，课程</w:t>
      </w:r>
      <w:proofErr w:type="gramStart"/>
      <w:r>
        <w:rPr>
          <w:rStyle w:val="NormalCharacter"/>
          <w:rFonts w:ascii="宋体" w:eastAsia="宋体" w:hAnsi="宋体" w:cs="宋体" w:hint="eastAsia"/>
          <w:bCs/>
          <w:sz w:val="28"/>
          <w:szCs w:val="28"/>
        </w:rPr>
        <w:t>思政改革</w:t>
      </w:r>
      <w:proofErr w:type="gramEnd"/>
      <w:r>
        <w:rPr>
          <w:rStyle w:val="NormalCharacter"/>
          <w:rFonts w:ascii="宋体" w:eastAsia="宋体" w:hAnsi="宋体" w:cs="宋体" w:hint="eastAsia"/>
          <w:bCs/>
          <w:sz w:val="28"/>
          <w:szCs w:val="28"/>
        </w:rPr>
        <w:t>效果明显。</w:t>
      </w:r>
    </w:p>
    <w:p w14:paraId="19467A95" w14:textId="77777777" w:rsidR="00CB0E91" w:rsidRDefault="00AC5FF7">
      <w:pPr>
        <w:spacing w:line="360" w:lineRule="auto"/>
        <w:ind w:firstLineChars="200" w:firstLine="643"/>
        <w:rPr>
          <w:rFonts w:asciiTheme="minorHAnsi" w:eastAsiaTheme="minorEastAsia" w:hAnsiTheme="minorHAnsi" w:cstheme="minorBidi"/>
          <w:b/>
          <w:bCs/>
          <w:szCs w:val="36"/>
        </w:rPr>
      </w:pPr>
      <w:r>
        <w:rPr>
          <w:rFonts w:asciiTheme="minorHAnsi" w:eastAsiaTheme="minorEastAsia" w:hAnsiTheme="minorHAnsi" w:cstheme="minorBidi" w:hint="eastAsia"/>
          <w:b/>
          <w:bCs/>
          <w:szCs w:val="36"/>
        </w:rPr>
        <w:t>（四）学术训练情况</w:t>
      </w:r>
    </w:p>
    <w:p w14:paraId="3FD97328" w14:textId="77777777" w:rsidR="00CB0E91" w:rsidRDefault="00AC5FF7">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hint="eastAsia"/>
          <w:bCs/>
          <w:sz w:val="28"/>
          <w:szCs w:val="28"/>
        </w:rPr>
        <w:t>1.学位</w:t>
      </w:r>
      <w:proofErr w:type="gramStart"/>
      <w:r>
        <w:rPr>
          <w:rStyle w:val="NormalCharacter"/>
          <w:rFonts w:ascii="宋体" w:eastAsia="宋体" w:hAnsi="宋体" w:cs="宋体" w:hint="eastAsia"/>
          <w:bCs/>
          <w:sz w:val="28"/>
          <w:szCs w:val="28"/>
        </w:rPr>
        <w:t>点教学</w:t>
      </w:r>
      <w:proofErr w:type="gramEnd"/>
      <w:r>
        <w:rPr>
          <w:rStyle w:val="NormalCharacter"/>
          <w:rFonts w:ascii="宋体" w:eastAsia="宋体" w:hAnsi="宋体" w:cs="宋体" w:hint="eastAsia"/>
          <w:bCs/>
          <w:sz w:val="28"/>
          <w:szCs w:val="28"/>
        </w:rPr>
        <w:t>成果</w:t>
      </w:r>
    </w:p>
    <w:p w14:paraId="7FDC2980" w14:textId="4043AA7F" w:rsidR="008B0455" w:rsidRPr="00162DC2" w:rsidRDefault="00AC5FF7" w:rsidP="00162DC2">
      <w:pPr>
        <w:spacing w:line="360" w:lineRule="auto"/>
        <w:ind w:firstLineChars="200" w:firstLine="560"/>
        <w:rPr>
          <w:rFonts w:ascii="宋体" w:eastAsia="宋体" w:hAnsi="宋体" w:cs="宋体" w:hint="eastAsia"/>
          <w:bCs/>
          <w:sz w:val="28"/>
          <w:szCs w:val="28"/>
        </w:rPr>
      </w:pPr>
      <w:r>
        <w:rPr>
          <w:rStyle w:val="NormalCharacter"/>
          <w:rFonts w:ascii="宋体" w:eastAsia="宋体" w:hAnsi="宋体" w:cs="宋体" w:hint="eastAsia"/>
          <w:bCs/>
          <w:sz w:val="28"/>
          <w:szCs w:val="28"/>
        </w:rPr>
        <w:t>本专业学位点以“两基四段案例牵引”实践教学理论为指导，以案例教学和实践教学为核心，综合运用探究式教学、启发式教学、讨论式教学、情景教学等教学方法，筑牢实践教学基地建设，强化职业技术实践能力，学生职业能力水平显著提升，学生拥有“双证率”达100%。王</w:t>
      </w:r>
      <w:proofErr w:type="gramStart"/>
      <w:r>
        <w:rPr>
          <w:rStyle w:val="NormalCharacter"/>
          <w:rFonts w:ascii="宋体" w:eastAsia="宋体" w:hAnsi="宋体" w:cs="宋体" w:hint="eastAsia"/>
          <w:bCs/>
          <w:sz w:val="28"/>
          <w:szCs w:val="28"/>
        </w:rPr>
        <w:t>丽主持</w:t>
      </w:r>
      <w:proofErr w:type="gramEnd"/>
      <w:r>
        <w:rPr>
          <w:rStyle w:val="NormalCharacter"/>
          <w:rFonts w:ascii="宋体" w:eastAsia="宋体" w:hAnsi="宋体" w:cs="宋体" w:hint="eastAsia"/>
          <w:bCs/>
          <w:sz w:val="28"/>
          <w:szCs w:val="28"/>
        </w:rPr>
        <w:t>江西省省级研究生创新专项资金资助项目1项，撰写实践调研报告10份，参与教学案例编写15个。本专业学生获江西财经大学“鄱湖论坛”论文荣获优胜奖3次，江西省图书馆学会年会征文论文三等奖1次。师生社会服务能力明显提升，师生协作完成各类</w:t>
      </w:r>
      <w:proofErr w:type="gramStart"/>
      <w:r>
        <w:rPr>
          <w:rStyle w:val="NormalCharacter"/>
          <w:rFonts w:ascii="宋体" w:eastAsia="宋体" w:hAnsi="宋体" w:cs="宋体" w:hint="eastAsia"/>
          <w:bCs/>
          <w:sz w:val="28"/>
          <w:szCs w:val="28"/>
        </w:rPr>
        <w:lastRenderedPageBreak/>
        <w:t>文旅规划</w:t>
      </w:r>
      <w:proofErr w:type="gramEnd"/>
      <w:r>
        <w:rPr>
          <w:rStyle w:val="NormalCharacter"/>
          <w:rFonts w:ascii="宋体" w:eastAsia="宋体" w:hAnsi="宋体" w:cs="宋体" w:hint="eastAsia"/>
          <w:bCs/>
          <w:sz w:val="28"/>
          <w:szCs w:val="28"/>
        </w:rPr>
        <w:t>项目20余项。</w:t>
      </w:r>
    </w:p>
    <w:tbl>
      <w:tblPr>
        <w:tblStyle w:val="af2"/>
        <w:tblW w:w="0" w:type="auto"/>
        <w:tblLook w:val="04A0" w:firstRow="1" w:lastRow="0" w:firstColumn="1" w:lastColumn="0" w:noHBand="0" w:noVBand="1"/>
      </w:tblPr>
      <w:tblGrid>
        <w:gridCol w:w="2765"/>
        <w:gridCol w:w="2765"/>
        <w:gridCol w:w="2766"/>
      </w:tblGrid>
      <w:tr w:rsidR="0005039B" w:rsidRPr="00162DC2" w14:paraId="6D198B73" w14:textId="77777777" w:rsidTr="00162DC2">
        <w:trPr>
          <w:trHeight w:val="583"/>
        </w:trPr>
        <w:tc>
          <w:tcPr>
            <w:tcW w:w="2765" w:type="dxa"/>
            <w:vAlign w:val="center"/>
          </w:tcPr>
          <w:p w14:paraId="6D48601D" w14:textId="7C16A29A" w:rsidR="0005039B" w:rsidRPr="00162DC2" w:rsidRDefault="0005039B" w:rsidP="008B0455">
            <w:pPr>
              <w:pStyle w:val="3"/>
              <w:ind w:firstLineChars="0" w:firstLine="0"/>
              <w:jc w:val="center"/>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姓名</w:t>
            </w:r>
          </w:p>
        </w:tc>
        <w:tc>
          <w:tcPr>
            <w:tcW w:w="2765" w:type="dxa"/>
            <w:vAlign w:val="center"/>
          </w:tcPr>
          <w:p w14:paraId="0C9C37D7" w14:textId="2D73E704" w:rsidR="0005039B" w:rsidRPr="00162DC2" w:rsidRDefault="0005039B" w:rsidP="008B0455">
            <w:pPr>
              <w:pStyle w:val="3"/>
              <w:ind w:firstLineChars="0" w:firstLine="0"/>
              <w:jc w:val="center"/>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成果</w:t>
            </w:r>
          </w:p>
        </w:tc>
        <w:tc>
          <w:tcPr>
            <w:tcW w:w="2766" w:type="dxa"/>
            <w:vAlign w:val="center"/>
          </w:tcPr>
          <w:p w14:paraId="6016FDF5" w14:textId="2145ACD1" w:rsidR="0005039B" w:rsidRPr="00162DC2" w:rsidRDefault="0005039B" w:rsidP="008B0455">
            <w:pPr>
              <w:pStyle w:val="3"/>
              <w:ind w:firstLineChars="0" w:firstLine="0"/>
              <w:jc w:val="center"/>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年份</w:t>
            </w:r>
          </w:p>
        </w:tc>
      </w:tr>
      <w:tr w:rsidR="008B0455" w:rsidRPr="00162DC2" w14:paraId="5D12CDA5" w14:textId="77777777" w:rsidTr="008B0455">
        <w:tc>
          <w:tcPr>
            <w:tcW w:w="2765" w:type="dxa"/>
            <w:vMerge w:val="restart"/>
            <w:vAlign w:val="center"/>
          </w:tcPr>
          <w:p w14:paraId="0807A6C1" w14:textId="757F107A" w:rsidR="008B0455" w:rsidRPr="00162DC2" w:rsidRDefault="008B0455" w:rsidP="008B0455">
            <w:pPr>
              <w:pStyle w:val="3"/>
              <w:ind w:firstLineChars="0" w:firstLine="0"/>
              <w:jc w:val="center"/>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王丽</w:t>
            </w:r>
          </w:p>
        </w:tc>
        <w:tc>
          <w:tcPr>
            <w:tcW w:w="2765" w:type="dxa"/>
          </w:tcPr>
          <w:p w14:paraId="2894E3DA" w14:textId="019E41C5"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主持江西省省级研究生创新专项资金资助项目</w:t>
            </w:r>
            <w:r w:rsidRPr="00162DC2">
              <w:rPr>
                <w:rStyle w:val="NormalCharacter"/>
                <w:rFonts w:asciiTheme="minorEastAsia" w:eastAsiaTheme="minorEastAsia" w:hAnsiTheme="minorEastAsia" w:cs="宋体" w:hint="eastAsia"/>
                <w:bCs/>
                <w:color w:val="auto"/>
                <w:sz w:val="21"/>
                <w:szCs w:val="21"/>
              </w:rPr>
              <w:t xml:space="preserve"> </w:t>
            </w:r>
          </w:p>
        </w:tc>
        <w:tc>
          <w:tcPr>
            <w:tcW w:w="2766" w:type="dxa"/>
            <w:vMerge w:val="restart"/>
            <w:vAlign w:val="center"/>
          </w:tcPr>
          <w:p w14:paraId="72F5DC56" w14:textId="0277FC47" w:rsidR="008B0455" w:rsidRPr="00162DC2" w:rsidRDefault="008B0455" w:rsidP="008B0455">
            <w:pPr>
              <w:pStyle w:val="3"/>
              <w:ind w:firstLineChars="0" w:firstLine="0"/>
              <w:jc w:val="center"/>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2</w:t>
            </w:r>
            <w:r w:rsidRPr="00162DC2">
              <w:rPr>
                <w:rStyle w:val="NormalCharacter"/>
                <w:rFonts w:asciiTheme="minorEastAsia" w:eastAsiaTheme="minorEastAsia" w:hAnsiTheme="minorEastAsia" w:cs="宋体"/>
                <w:bCs/>
                <w:color w:val="auto"/>
                <w:sz w:val="21"/>
                <w:szCs w:val="21"/>
              </w:rPr>
              <w:t>021</w:t>
            </w:r>
            <w:r w:rsidRPr="00162DC2">
              <w:rPr>
                <w:rStyle w:val="NormalCharacter"/>
                <w:rFonts w:asciiTheme="minorEastAsia" w:eastAsiaTheme="minorEastAsia" w:hAnsiTheme="minorEastAsia" w:cs="宋体" w:hint="eastAsia"/>
                <w:bCs/>
                <w:color w:val="auto"/>
                <w:sz w:val="21"/>
                <w:szCs w:val="21"/>
              </w:rPr>
              <w:t>年</w:t>
            </w:r>
          </w:p>
        </w:tc>
      </w:tr>
      <w:tr w:rsidR="008B0455" w:rsidRPr="00162DC2" w14:paraId="699EA830" w14:textId="77777777" w:rsidTr="0005039B">
        <w:tc>
          <w:tcPr>
            <w:tcW w:w="2765" w:type="dxa"/>
            <w:vMerge/>
          </w:tcPr>
          <w:p w14:paraId="35681D44" w14:textId="77777777"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p>
        </w:tc>
        <w:tc>
          <w:tcPr>
            <w:tcW w:w="2765" w:type="dxa"/>
          </w:tcPr>
          <w:p w14:paraId="763789E0" w14:textId="4BA48565"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撰写实践调研报告</w:t>
            </w:r>
          </w:p>
        </w:tc>
        <w:tc>
          <w:tcPr>
            <w:tcW w:w="2766" w:type="dxa"/>
            <w:vMerge/>
          </w:tcPr>
          <w:p w14:paraId="4BB13DDA" w14:textId="77777777"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p>
        </w:tc>
      </w:tr>
      <w:tr w:rsidR="008B0455" w:rsidRPr="00162DC2" w14:paraId="4B846443" w14:textId="77777777" w:rsidTr="0005039B">
        <w:tc>
          <w:tcPr>
            <w:tcW w:w="2765" w:type="dxa"/>
            <w:vMerge/>
          </w:tcPr>
          <w:p w14:paraId="06A72B08" w14:textId="77777777"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p>
        </w:tc>
        <w:tc>
          <w:tcPr>
            <w:tcW w:w="2765" w:type="dxa"/>
          </w:tcPr>
          <w:p w14:paraId="562A9378" w14:textId="2A319817"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r w:rsidRPr="00162DC2">
              <w:rPr>
                <w:rStyle w:val="NormalCharacter"/>
                <w:rFonts w:asciiTheme="minorEastAsia" w:eastAsiaTheme="minorEastAsia" w:hAnsiTheme="minorEastAsia" w:cs="宋体" w:hint="eastAsia"/>
                <w:bCs/>
                <w:color w:val="auto"/>
                <w:sz w:val="21"/>
                <w:szCs w:val="21"/>
              </w:rPr>
              <w:t>参与教学案例编写</w:t>
            </w:r>
          </w:p>
        </w:tc>
        <w:tc>
          <w:tcPr>
            <w:tcW w:w="2766" w:type="dxa"/>
            <w:vMerge/>
          </w:tcPr>
          <w:p w14:paraId="3A6839F6" w14:textId="77777777" w:rsidR="008B0455" w:rsidRPr="00162DC2" w:rsidRDefault="008B0455" w:rsidP="0005039B">
            <w:pPr>
              <w:pStyle w:val="3"/>
              <w:ind w:firstLineChars="0" w:firstLine="0"/>
              <w:rPr>
                <w:rStyle w:val="NormalCharacter"/>
                <w:rFonts w:asciiTheme="minorEastAsia" w:eastAsiaTheme="minorEastAsia" w:hAnsiTheme="minorEastAsia" w:cs="宋体" w:hint="eastAsia"/>
                <w:bCs/>
                <w:color w:val="auto"/>
                <w:sz w:val="21"/>
                <w:szCs w:val="21"/>
              </w:rPr>
            </w:pPr>
          </w:p>
        </w:tc>
      </w:tr>
    </w:tbl>
    <w:p w14:paraId="6A399894" w14:textId="77777777" w:rsidR="008B0455" w:rsidRPr="00162DC2" w:rsidRDefault="008B0455" w:rsidP="008B0455">
      <w:pPr>
        <w:spacing w:line="360" w:lineRule="auto"/>
        <w:jc w:val="left"/>
        <w:rPr>
          <w:rStyle w:val="NormalCharacter"/>
          <w:rFonts w:asciiTheme="minorEastAsia" w:eastAsiaTheme="minorEastAsia" w:hAnsiTheme="minorEastAsia" w:cs="宋体" w:hint="eastAsia"/>
          <w:bCs/>
          <w:sz w:val="21"/>
          <w:szCs w:val="21"/>
        </w:rPr>
      </w:pPr>
    </w:p>
    <w:p w14:paraId="66D4E8C5" w14:textId="32225592" w:rsidR="00CB0E91" w:rsidRDefault="00AC5FF7" w:rsidP="00162DC2">
      <w:pPr>
        <w:spacing w:line="360" w:lineRule="auto"/>
        <w:ind w:firstLineChars="200" w:firstLine="560"/>
        <w:jc w:val="left"/>
        <w:rPr>
          <w:rStyle w:val="NormalCharacter"/>
          <w:rFonts w:ascii="宋体" w:eastAsia="宋体" w:hAnsi="宋体" w:cs="宋体"/>
          <w:bCs/>
          <w:sz w:val="28"/>
          <w:szCs w:val="28"/>
        </w:rPr>
      </w:pPr>
      <w:r>
        <w:rPr>
          <w:rStyle w:val="NormalCharacter"/>
          <w:rFonts w:ascii="宋体" w:eastAsia="宋体" w:hAnsi="宋体" w:cs="宋体" w:hint="eastAsia"/>
          <w:bCs/>
          <w:sz w:val="28"/>
          <w:szCs w:val="28"/>
        </w:rPr>
        <w:t>2.学生国内外竞赛获奖项目</w:t>
      </w:r>
    </w:p>
    <w:p w14:paraId="10F2B412" w14:textId="17664922" w:rsidR="00CB0E91" w:rsidRDefault="00AC5FF7">
      <w:pPr>
        <w:pStyle w:val="a7"/>
        <w:spacing w:after="0"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bCs/>
          <w:sz w:val="28"/>
          <w:szCs w:val="28"/>
        </w:rPr>
        <w:t>本</w:t>
      </w:r>
      <w:r>
        <w:rPr>
          <w:rStyle w:val="NormalCharacter"/>
          <w:rFonts w:ascii="宋体" w:eastAsia="宋体" w:hAnsi="宋体" w:cs="宋体" w:hint="eastAsia"/>
          <w:bCs/>
          <w:sz w:val="28"/>
          <w:szCs w:val="28"/>
        </w:rPr>
        <w:t>专业学生叶欣在第十一届全国大学生红色旅游创意策划大赛中荣获一等奖，获奖作品为《揽秀月清湖，传嘉学兴邦》，在全国大学生海南</w:t>
      </w:r>
      <w:proofErr w:type="gramStart"/>
      <w:r>
        <w:rPr>
          <w:rStyle w:val="NormalCharacter"/>
          <w:rFonts w:ascii="宋体" w:eastAsia="宋体" w:hAnsi="宋体" w:cs="宋体" w:hint="eastAsia"/>
          <w:bCs/>
          <w:sz w:val="28"/>
          <w:szCs w:val="28"/>
        </w:rPr>
        <w:t>自贸港旅游</w:t>
      </w:r>
      <w:proofErr w:type="gramEnd"/>
      <w:r>
        <w:rPr>
          <w:rStyle w:val="NormalCharacter"/>
          <w:rFonts w:ascii="宋体" w:eastAsia="宋体" w:hAnsi="宋体" w:cs="宋体" w:hint="eastAsia"/>
          <w:bCs/>
          <w:sz w:val="28"/>
          <w:szCs w:val="28"/>
        </w:rPr>
        <w:t>创新大赛中荣获一等奖，获奖作品为《青春，海岛任我行》。</w:t>
      </w:r>
      <w:proofErr w:type="gramStart"/>
      <w:r>
        <w:rPr>
          <w:rStyle w:val="NormalCharacter"/>
          <w:rFonts w:ascii="宋体" w:eastAsia="宋体" w:hAnsi="宋体" w:cs="宋体" w:hint="eastAsia"/>
          <w:bCs/>
          <w:sz w:val="28"/>
          <w:szCs w:val="28"/>
        </w:rPr>
        <w:t>专硕研究生</w:t>
      </w:r>
      <w:proofErr w:type="gramEnd"/>
      <w:r>
        <w:rPr>
          <w:rStyle w:val="NormalCharacter"/>
          <w:rFonts w:ascii="宋体" w:eastAsia="宋体" w:hAnsi="宋体" w:cs="宋体" w:hint="eastAsia"/>
          <w:bCs/>
          <w:sz w:val="28"/>
          <w:szCs w:val="28"/>
        </w:rPr>
        <w:t>高翔主持国家旅游局旅游英才计划“双师型教学团队建设项目”1项，</w:t>
      </w:r>
      <w:proofErr w:type="gramStart"/>
      <w:r>
        <w:rPr>
          <w:rStyle w:val="NormalCharacter"/>
          <w:rFonts w:ascii="宋体" w:eastAsia="宋体" w:hAnsi="宋体" w:cs="宋体" w:hint="eastAsia"/>
          <w:bCs/>
          <w:sz w:val="28"/>
          <w:szCs w:val="28"/>
        </w:rPr>
        <w:t>专硕研究生</w:t>
      </w:r>
      <w:proofErr w:type="gramEnd"/>
      <w:r>
        <w:rPr>
          <w:rStyle w:val="NormalCharacter"/>
          <w:rFonts w:ascii="宋体" w:eastAsia="宋体" w:hAnsi="宋体" w:cs="宋体" w:hint="eastAsia"/>
          <w:bCs/>
          <w:sz w:val="28"/>
          <w:szCs w:val="28"/>
        </w:rPr>
        <w:t>获得第三届全国大学生预防艾滋病知识竞赛中优胜奖2次、第三届全国大学生环保知识竞赛获优秀奖1次。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701"/>
        <w:gridCol w:w="1021"/>
        <w:gridCol w:w="992"/>
        <w:gridCol w:w="1134"/>
      </w:tblGrid>
      <w:tr w:rsidR="00CC616B" w:rsidRPr="006151FA" w14:paraId="48CEE63C" w14:textId="77777777" w:rsidTr="00CC616B">
        <w:trPr>
          <w:trHeight w:val="454"/>
          <w:jc w:val="center"/>
        </w:trPr>
        <w:tc>
          <w:tcPr>
            <w:tcW w:w="2093" w:type="dxa"/>
            <w:vAlign w:val="center"/>
          </w:tcPr>
          <w:p w14:paraId="7F0B1166"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赛事</w:t>
            </w:r>
          </w:p>
          <w:p w14:paraId="66A77475"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名称</w:t>
            </w:r>
          </w:p>
        </w:tc>
        <w:tc>
          <w:tcPr>
            <w:tcW w:w="992" w:type="dxa"/>
            <w:vAlign w:val="center"/>
          </w:tcPr>
          <w:p w14:paraId="412B96D4"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学生</w:t>
            </w:r>
          </w:p>
          <w:p w14:paraId="40461330"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姓名</w:t>
            </w:r>
          </w:p>
        </w:tc>
        <w:tc>
          <w:tcPr>
            <w:tcW w:w="1701" w:type="dxa"/>
            <w:vAlign w:val="center"/>
          </w:tcPr>
          <w:p w14:paraId="5B5AFFEA"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组织单位</w:t>
            </w:r>
          </w:p>
          <w:p w14:paraId="4D1887ED"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名称</w:t>
            </w:r>
          </w:p>
        </w:tc>
        <w:tc>
          <w:tcPr>
            <w:tcW w:w="1021" w:type="dxa"/>
            <w:vAlign w:val="center"/>
          </w:tcPr>
          <w:p w14:paraId="412379B9"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组织单位</w:t>
            </w:r>
          </w:p>
          <w:p w14:paraId="090173E5"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类型</w:t>
            </w:r>
          </w:p>
        </w:tc>
        <w:tc>
          <w:tcPr>
            <w:tcW w:w="992" w:type="dxa"/>
            <w:vAlign w:val="center"/>
          </w:tcPr>
          <w:p w14:paraId="17C7C8D3"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获奖等级</w:t>
            </w:r>
          </w:p>
        </w:tc>
        <w:tc>
          <w:tcPr>
            <w:tcW w:w="1134" w:type="dxa"/>
            <w:vAlign w:val="center"/>
          </w:tcPr>
          <w:p w14:paraId="666FF5B5"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获奖</w:t>
            </w:r>
          </w:p>
          <w:p w14:paraId="7031FD4A"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时间</w:t>
            </w:r>
          </w:p>
        </w:tc>
      </w:tr>
      <w:tr w:rsidR="00CC616B" w:rsidRPr="006151FA" w14:paraId="7BD22D73" w14:textId="77777777" w:rsidTr="00CC616B">
        <w:trPr>
          <w:trHeight w:val="274"/>
          <w:jc w:val="center"/>
        </w:trPr>
        <w:tc>
          <w:tcPr>
            <w:tcW w:w="2093" w:type="dxa"/>
            <w:vAlign w:val="center"/>
          </w:tcPr>
          <w:p w14:paraId="07E6D2C3"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第十一届全国大学生红色旅游创意策划大赛</w:t>
            </w:r>
          </w:p>
        </w:tc>
        <w:tc>
          <w:tcPr>
            <w:tcW w:w="992" w:type="dxa"/>
            <w:vAlign w:val="center"/>
          </w:tcPr>
          <w:p w14:paraId="3D303F62"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叶欣</w:t>
            </w:r>
          </w:p>
        </w:tc>
        <w:tc>
          <w:tcPr>
            <w:tcW w:w="1701" w:type="dxa"/>
            <w:vAlign w:val="center"/>
          </w:tcPr>
          <w:p w14:paraId="7EFC6372"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中国旅游协会旅游教育分会/北京第二外国语学院</w:t>
            </w:r>
          </w:p>
        </w:tc>
        <w:tc>
          <w:tcPr>
            <w:tcW w:w="1021" w:type="dxa"/>
            <w:vAlign w:val="center"/>
          </w:tcPr>
          <w:p w14:paraId="33800C3E"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协会</w:t>
            </w:r>
          </w:p>
        </w:tc>
        <w:tc>
          <w:tcPr>
            <w:tcW w:w="992" w:type="dxa"/>
            <w:vAlign w:val="center"/>
          </w:tcPr>
          <w:p w14:paraId="52627BDE"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一等奖</w:t>
            </w:r>
          </w:p>
        </w:tc>
        <w:tc>
          <w:tcPr>
            <w:tcW w:w="1134" w:type="dxa"/>
            <w:vAlign w:val="center"/>
          </w:tcPr>
          <w:p w14:paraId="2736C938"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2</w:t>
            </w:r>
            <w:r w:rsidRPr="00162DC2">
              <w:rPr>
                <w:rStyle w:val="NormalCharacter"/>
                <w:rFonts w:asciiTheme="minorEastAsia" w:eastAsiaTheme="minorEastAsia" w:hAnsiTheme="minorEastAsia" w:cs="宋体"/>
                <w:bCs/>
                <w:sz w:val="21"/>
                <w:szCs w:val="21"/>
              </w:rPr>
              <w:t>021</w:t>
            </w:r>
            <w:r w:rsidRPr="00162DC2">
              <w:rPr>
                <w:rStyle w:val="NormalCharacter"/>
                <w:rFonts w:asciiTheme="minorEastAsia" w:eastAsiaTheme="minorEastAsia" w:hAnsiTheme="minorEastAsia" w:cs="宋体" w:hint="eastAsia"/>
                <w:bCs/>
                <w:sz w:val="21"/>
                <w:szCs w:val="21"/>
              </w:rPr>
              <w:t>年</w:t>
            </w:r>
            <w:r w:rsidRPr="00162DC2">
              <w:rPr>
                <w:rStyle w:val="NormalCharacter"/>
                <w:rFonts w:asciiTheme="minorEastAsia" w:eastAsiaTheme="minorEastAsia" w:hAnsiTheme="minorEastAsia" w:cs="宋体"/>
                <w:bCs/>
                <w:sz w:val="21"/>
                <w:szCs w:val="21"/>
              </w:rPr>
              <w:t>5</w:t>
            </w:r>
            <w:r w:rsidRPr="00162DC2">
              <w:rPr>
                <w:rStyle w:val="NormalCharacter"/>
                <w:rFonts w:asciiTheme="minorEastAsia" w:eastAsiaTheme="minorEastAsia" w:hAnsiTheme="minorEastAsia" w:cs="宋体" w:hint="eastAsia"/>
                <w:bCs/>
                <w:sz w:val="21"/>
                <w:szCs w:val="21"/>
              </w:rPr>
              <w:t>月</w:t>
            </w:r>
          </w:p>
        </w:tc>
      </w:tr>
      <w:tr w:rsidR="00CC616B" w:rsidRPr="006151FA" w14:paraId="083AD2CD" w14:textId="77777777" w:rsidTr="00CC616B">
        <w:trPr>
          <w:trHeight w:val="274"/>
          <w:jc w:val="center"/>
        </w:trPr>
        <w:tc>
          <w:tcPr>
            <w:tcW w:w="2093" w:type="dxa"/>
            <w:vAlign w:val="center"/>
          </w:tcPr>
          <w:p w14:paraId="5D0F68B7"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全国大学生海南</w:t>
            </w:r>
            <w:proofErr w:type="gramStart"/>
            <w:r w:rsidRPr="00162DC2">
              <w:rPr>
                <w:rStyle w:val="NormalCharacter"/>
                <w:rFonts w:asciiTheme="minorEastAsia" w:eastAsiaTheme="minorEastAsia" w:hAnsiTheme="minorEastAsia" w:cs="宋体" w:hint="eastAsia"/>
                <w:bCs/>
                <w:sz w:val="21"/>
                <w:szCs w:val="21"/>
              </w:rPr>
              <w:t>自贸港旅游</w:t>
            </w:r>
            <w:proofErr w:type="gramEnd"/>
            <w:r w:rsidRPr="00162DC2">
              <w:rPr>
                <w:rStyle w:val="NormalCharacter"/>
                <w:rFonts w:asciiTheme="minorEastAsia" w:eastAsiaTheme="minorEastAsia" w:hAnsiTheme="minorEastAsia" w:cs="宋体" w:hint="eastAsia"/>
                <w:bCs/>
                <w:sz w:val="21"/>
                <w:szCs w:val="21"/>
              </w:rPr>
              <w:t>创新大赛</w:t>
            </w:r>
          </w:p>
        </w:tc>
        <w:tc>
          <w:tcPr>
            <w:tcW w:w="992" w:type="dxa"/>
            <w:vAlign w:val="center"/>
          </w:tcPr>
          <w:p w14:paraId="33311810"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叶欣</w:t>
            </w:r>
          </w:p>
        </w:tc>
        <w:tc>
          <w:tcPr>
            <w:tcW w:w="1701" w:type="dxa"/>
            <w:vAlign w:val="center"/>
          </w:tcPr>
          <w:p w14:paraId="7D74E0A5"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中国旅游协会旅游教育分会/海南省旅游协会/海南大学</w:t>
            </w:r>
          </w:p>
        </w:tc>
        <w:tc>
          <w:tcPr>
            <w:tcW w:w="1021" w:type="dxa"/>
            <w:vAlign w:val="center"/>
          </w:tcPr>
          <w:p w14:paraId="07DB1B0C" w14:textId="77777777" w:rsidR="00CC616B" w:rsidRPr="00162DC2" w:rsidRDefault="00CC616B" w:rsidP="006151FA">
            <w:pPr>
              <w:widowControl/>
              <w:spacing w:line="36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协会</w:t>
            </w:r>
          </w:p>
        </w:tc>
        <w:tc>
          <w:tcPr>
            <w:tcW w:w="992" w:type="dxa"/>
            <w:vAlign w:val="center"/>
          </w:tcPr>
          <w:p w14:paraId="7BA94DA2"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一等奖</w:t>
            </w:r>
          </w:p>
        </w:tc>
        <w:tc>
          <w:tcPr>
            <w:tcW w:w="1134" w:type="dxa"/>
            <w:vAlign w:val="center"/>
          </w:tcPr>
          <w:p w14:paraId="29143B7C" w14:textId="77777777" w:rsidR="00CC616B" w:rsidRPr="00162DC2" w:rsidRDefault="00CC616B" w:rsidP="006151FA">
            <w:pPr>
              <w:widowControl/>
              <w:spacing w:line="300" w:lineRule="exact"/>
              <w:jc w:val="center"/>
              <w:rPr>
                <w:rStyle w:val="NormalCharacter"/>
                <w:rFonts w:asciiTheme="minorEastAsia" w:eastAsiaTheme="minorEastAsia" w:hAnsiTheme="minorEastAsia" w:cs="宋体"/>
                <w:bCs/>
                <w:sz w:val="21"/>
                <w:szCs w:val="21"/>
              </w:rPr>
            </w:pPr>
            <w:r w:rsidRPr="00162DC2">
              <w:rPr>
                <w:rStyle w:val="NormalCharacter"/>
                <w:rFonts w:asciiTheme="minorEastAsia" w:eastAsiaTheme="minorEastAsia" w:hAnsiTheme="minorEastAsia" w:cs="宋体" w:hint="eastAsia"/>
                <w:bCs/>
                <w:sz w:val="21"/>
                <w:szCs w:val="21"/>
              </w:rPr>
              <w:t>2</w:t>
            </w:r>
            <w:r w:rsidRPr="00162DC2">
              <w:rPr>
                <w:rStyle w:val="NormalCharacter"/>
                <w:rFonts w:asciiTheme="minorEastAsia" w:eastAsiaTheme="minorEastAsia" w:hAnsiTheme="minorEastAsia" w:cs="宋体"/>
                <w:bCs/>
                <w:sz w:val="21"/>
                <w:szCs w:val="21"/>
              </w:rPr>
              <w:t>021</w:t>
            </w:r>
            <w:r w:rsidRPr="00162DC2">
              <w:rPr>
                <w:rStyle w:val="NormalCharacter"/>
                <w:rFonts w:asciiTheme="minorEastAsia" w:eastAsiaTheme="minorEastAsia" w:hAnsiTheme="minorEastAsia" w:cs="宋体" w:hint="eastAsia"/>
                <w:bCs/>
                <w:sz w:val="21"/>
                <w:szCs w:val="21"/>
              </w:rPr>
              <w:t>年</w:t>
            </w:r>
            <w:r w:rsidRPr="00162DC2">
              <w:rPr>
                <w:rStyle w:val="NormalCharacter"/>
                <w:rFonts w:asciiTheme="minorEastAsia" w:eastAsiaTheme="minorEastAsia" w:hAnsiTheme="minorEastAsia" w:cs="宋体"/>
                <w:bCs/>
                <w:sz w:val="21"/>
                <w:szCs w:val="21"/>
              </w:rPr>
              <w:t>6</w:t>
            </w:r>
            <w:r w:rsidRPr="00162DC2">
              <w:rPr>
                <w:rStyle w:val="NormalCharacter"/>
                <w:rFonts w:asciiTheme="minorEastAsia" w:eastAsiaTheme="minorEastAsia" w:hAnsiTheme="minorEastAsia" w:cs="宋体" w:hint="eastAsia"/>
                <w:bCs/>
                <w:sz w:val="21"/>
                <w:szCs w:val="21"/>
              </w:rPr>
              <w:t>月</w:t>
            </w:r>
          </w:p>
        </w:tc>
      </w:tr>
    </w:tbl>
    <w:p w14:paraId="559C6E4C" w14:textId="77777777" w:rsidR="00643658" w:rsidRDefault="00643658">
      <w:pPr>
        <w:pStyle w:val="a7"/>
        <w:spacing w:after="0" w:line="360" w:lineRule="auto"/>
        <w:ind w:firstLineChars="200" w:firstLine="480"/>
        <w:rPr>
          <w:rStyle w:val="NormalCharacter"/>
          <w:rFonts w:ascii="宋体" w:eastAsia="宋体" w:hAnsi="宋体" w:cs="宋体"/>
          <w:bCs/>
        </w:rPr>
      </w:pPr>
    </w:p>
    <w:p w14:paraId="41760557" w14:textId="4936C7D1" w:rsidR="00643658" w:rsidRDefault="00643658">
      <w:pPr>
        <w:pStyle w:val="a7"/>
        <w:spacing w:after="0" w:line="360" w:lineRule="auto"/>
        <w:ind w:firstLineChars="200" w:firstLine="562"/>
        <w:rPr>
          <w:rFonts w:asciiTheme="minorHAnsi" w:eastAsiaTheme="minorEastAsia" w:hAnsiTheme="minorHAnsi" w:cstheme="minorBidi"/>
          <w:b/>
          <w:sz w:val="28"/>
          <w:szCs w:val="28"/>
        </w:rPr>
      </w:pPr>
      <w:r w:rsidRPr="00643658">
        <w:rPr>
          <w:rFonts w:asciiTheme="minorHAnsi" w:eastAsiaTheme="minorEastAsia" w:hAnsiTheme="minorHAnsi" w:cstheme="minorBidi"/>
          <w:b/>
          <w:sz w:val="28"/>
          <w:szCs w:val="28"/>
        </w:rPr>
        <w:lastRenderedPageBreak/>
        <w:t>（五）学术交流情况</w:t>
      </w:r>
    </w:p>
    <w:p w14:paraId="0AA3CE87" w14:textId="4190610C" w:rsidR="00643658" w:rsidRPr="00643658" w:rsidRDefault="00FE692A">
      <w:pPr>
        <w:pStyle w:val="a7"/>
        <w:spacing w:after="0" w:line="360" w:lineRule="auto"/>
        <w:ind w:firstLineChars="200" w:firstLine="560"/>
        <w:rPr>
          <w:rStyle w:val="NormalCharacter"/>
          <w:rFonts w:ascii="宋体" w:eastAsia="宋体" w:hAnsi="宋体" w:cs="宋体"/>
          <w:bCs/>
          <w:sz w:val="28"/>
        </w:rPr>
      </w:pPr>
      <w:r>
        <w:rPr>
          <w:rFonts w:ascii="宋体" w:eastAsia="宋体" w:hAnsi="宋体" w:cs="宋体"/>
          <w:bCs/>
          <w:sz w:val="28"/>
          <w:szCs w:val="28"/>
        </w:rPr>
        <w:t>2021</w:t>
      </w:r>
      <w:r>
        <w:rPr>
          <w:rFonts w:ascii="宋体" w:eastAsia="宋体" w:hAnsi="宋体" w:cs="宋体" w:hint="eastAsia"/>
          <w:bCs/>
          <w:sz w:val="28"/>
          <w:szCs w:val="28"/>
        </w:rPr>
        <w:t>年</w:t>
      </w:r>
      <w:r w:rsidRPr="00FE692A">
        <w:rPr>
          <w:rFonts w:ascii="宋体" w:eastAsia="宋体" w:hAnsi="宋体" w:cs="宋体"/>
          <w:bCs/>
          <w:sz w:val="28"/>
          <w:szCs w:val="28"/>
        </w:rPr>
        <w:t>5月，</w:t>
      </w:r>
      <w:r>
        <w:rPr>
          <w:rFonts w:ascii="宋体" w:eastAsia="宋体" w:hAnsi="宋体" w:cs="宋体" w:hint="eastAsia"/>
          <w:bCs/>
          <w:sz w:val="28"/>
          <w:szCs w:val="28"/>
        </w:rPr>
        <w:t>本院邀请</w:t>
      </w:r>
      <w:r w:rsidRPr="00FE692A">
        <w:rPr>
          <w:rFonts w:ascii="宋体" w:eastAsia="宋体" w:hAnsi="宋体" w:cs="宋体"/>
          <w:bCs/>
          <w:sz w:val="28"/>
          <w:szCs w:val="28"/>
        </w:rPr>
        <w:t>江西南方国际旅行社黄锦珂董事长</w:t>
      </w:r>
      <w:r>
        <w:rPr>
          <w:rFonts w:ascii="宋体" w:eastAsia="宋体" w:hAnsi="宋体" w:cs="宋体" w:hint="eastAsia"/>
          <w:bCs/>
          <w:sz w:val="28"/>
          <w:szCs w:val="28"/>
        </w:rPr>
        <w:t>为学生开设讲座</w:t>
      </w:r>
      <w:r w:rsidRPr="00FE692A">
        <w:rPr>
          <w:rFonts w:ascii="宋体" w:eastAsia="宋体" w:hAnsi="宋体" w:cs="宋体"/>
          <w:bCs/>
          <w:sz w:val="28"/>
          <w:szCs w:val="28"/>
        </w:rPr>
        <w:t>。黄锦珂董事长围绕“旅行社行业思考与探究”这一主题，从旅行社行业发展趋势、旅行社电子商务、旅行社就业状况分析几个方面进行了深入浅出的阐述。</w:t>
      </w:r>
      <w:r w:rsidR="00643658">
        <w:rPr>
          <w:rStyle w:val="NormalCharacter"/>
          <w:rFonts w:ascii="宋体" w:eastAsia="宋体" w:hAnsi="宋体" w:cs="宋体"/>
          <w:bCs/>
          <w:sz w:val="28"/>
          <w:szCs w:val="28"/>
        </w:rPr>
        <w:t>2021</w:t>
      </w:r>
      <w:r w:rsidR="00643658">
        <w:rPr>
          <w:rStyle w:val="NormalCharacter"/>
          <w:rFonts w:ascii="宋体" w:eastAsia="宋体" w:hAnsi="宋体" w:cs="宋体" w:hint="eastAsia"/>
          <w:bCs/>
          <w:sz w:val="28"/>
          <w:szCs w:val="28"/>
        </w:rPr>
        <w:t>年6月，</w:t>
      </w:r>
      <w:r w:rsidR="00643658" w:rsidRPr="00643658">
        <w:rPr>
          <w:rStyle w:val="NormalCharacter"/>
          <w:rFonts w:ascii="宋体" w:eastAsia="宋体" w:hAnsi="宋体" w:cs="宋体"/>
          <w:bCs/>
          <w:sz w:val="28"/>
          <w:szCs w:val="28"/>
        </w:rPr>
        <w:t>中关村智慧旅游创新协会创会会长张德欣教授受邀为</w:t>
      </w:r>
      <w:r w:rsidR="00643658">
        <w:rPr>
          <w:rStyle w:val="NormalCharacter"/>
          <w:rFonts w:ascii="宋体" w:eastAsia="宋体" w:hAnsi="宋体" w:cs="宋体" w:hint="eastAsia"/>
          <w:bCs/>
          <w:sz w:val="28"/>
          <w:szCs w:val="28"/>
        </w:rPr>
        <w:t>本专业学生</w:t>
      </w:r>
      <w:r w:rsidR="00643658" w:rsidRPr="00643658">
        <w:rPr>
          <w:rStyle w:val="NormalCharacter"/>
          <w:rFonts w:ascii="宋体" w:eastAsia="宋体" w:hAnsi="宋体" w:cs="宋体"/>
          <w:bCs/>
          <w:sz w:val="28"/>
          <w:szCs w:val="28"/>
        </w:rPr>
        <w:t>授课。张德欣教授围绕“互联网+旅游”这一主题</w:t>
      </w:r>
      <w:r w:rsidR="00643658">
        <w:rPr>
          <w:rStyle w:val="NormalCharacter"/>
          <w:rFonts w:ascii="宋体" w:eastAsia="宋体" w:hAnsi="宋体" w:cs="宋体" w:hint="eastAsia"/>
          <w:bCs/>
          <w:sz w:val="28"/>
          <w:szCs w:val="28"/>
        </w:rPr>
        <w:t>，从</w:t>
      </w:r>
      <w:r w:rsidR="00643658" w:rsidRPr="00643658">
        <w:rPr>
          <w:rStyle w:val="NormalCharacter"/>
          <w:rFonts w:ascii="宋体" w:eastAsia="宋体" w:hAnsi="宋体" w:cs="宋体"/>
          <w:bCs/>
          <w:sz w:val="28"/>
          <w:szCs w:val="28"/>
        </w:rPr>
        <w:t>互联网+时代、旅游未来、</w:t>
      </w:r>
      <w:proofErr w:type="gramStart"/>
      <w:r w:rsidR="00643658" w:rsidRPr="00643658">
        <w:rPr>
          <w:rStyle w:val="NormalCharacter"/>
          <w:rFonts w:ascii="宋体" w:eastAsia="宋体" w:hAnsi="宋体" w:cs="宋体"/>
          <w:bCs/>
          <w:sz w:val="28"/>
          <w:szCs w:val="28"/>
        </w:rPr>
        <w:t>文旅融合</w:t>
      </w:r>
      <w:proofErr w:type="gramEnd"/>
      <w:r w:rsidR="00643658" w:rsidRPr="00643658">
        <w:rPr>
          <w:rStyle w:val="NormalCharacter"/>
          <w:rFonts w:ascii="宋体" w:eastAsia="宋体" w:hAnsi="宋体" w:cs="宋体"/>
          <w:bCs/>
          <w:sz w:val="28"/>
          <w:szCs w:val="28"/>
        </w:rPr>
        <w:t>等几个方面</w:t>
      </w:r>
      <w:r w:rsidR="00643658">
        <w:rPr>
          <w:rStyle w:val="NormalCharacter"/>
          <w:rFonts w:ascii="宋体" w:eastAsia="宋体" w:hAnsi="宋体" w:cs="宋体" w:hint="eastAsia"/>
          <w:bCs/>
          <w:sz w:val="28"/>
          <w:szCs w:val="28"/>
        </w:rPr>
        <w:t>与学生进行交流与探讨。</w:t>
      </w:r>
      <w:r w:rsidR="004057C8" w:rsidRPr="004057C8">
        <w:rPr>
          <w:rFonts w:ascii="宋体" w:eastAsia="宋体" w:hAnsi="宋体" w:cs="宋体"/>
          <w:bCs/>
          <w:sz w:val="28"/>
          <w:szCs w:val="28"/>
        </w:rPr>
        <w:t>定期邀请行业专家为学生授课，对提升</w:t>
      </w:r>
      <w:r w:rsidR="004057C8">
        <w:rPr>
          <w:rFonts w:ascii="宋体" w:eastAsia="宋体" w:hAnsi="宋体" w:cs="宋体" w:hint="eastAsia"/>
          <w:bCs/>
          <w:sz w:val="28"/>
          <w:szCs w:val="28"/>
        </w:rPr>
        <w:t>本学位点的</w:t>
      </w:r>
      <w:r w:rsidR="004057C8" w:rsidRPr="004057C8">
        <w:rPr>
          <w:rFonts w:ascii="宋体" w:eastAsia="宋体" w:hAnsi="宋体" w:cs="宋体"/>
          <w:bCs/>
          <w:sz w:val="28"/>
          <w:szCs w:val="28"/>
        </w:rPr>
        <w:t>办学质量和办学水平起到了重要的促进作用。</w:t>
      </w:r>
    </w:p>
    <w:p w14:paraId="0505AD0E" w14:textId="7660EE33" w:rsidR="00CB0E91" w:rsidRDefault="00643658" w:rsidP="00162DC2">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（六）</w:t>
      </w:r>
      <w:r w:rsidR="00AC5FF7">
        <w:rPr>
          <w:rFonts w:asciiTheme="minorHAnsi" w:eastAsiaTheme="minorEastAsia" w:hAnsiTheme="minorHAnsi" w:cstheme="minorBidi" w:hint="eastAsia"/>
          <w:b/>
          <w:bCs/>
          <w:sz w:val="28"/>
          <w:szCs w:val="36"/>
        </w:rPr>
        <w:t>研究生奖助情况</w:t>
      </w:r>
    </w:p>
    <w:p w14:paraId="58F7FFF7" w14:textId="57C2A8BB" w:rsidR="00CB0E91" w:rsidRDefault="00AC5FF7" w:rsidP="004057C8">
      <w:pPr>
        <w:pStyle w:val="a7"/>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本学科点研究生奖助体系有国家助学金、国家奖学金、江西省研究生学业奖学金、校奖学金以及研究生“三助”等组成，</w:t>
      </w:r>
      <w:r>
        <w:rPr>
          <w:rStyle w:val="NormalCharacter"/>
          <w:rFonts w:ascii="宋体" w:eastAsia="宋体" w:hAnsi="宋体" w:cs="宋体"/>
          <w:bCs/>
          <w:sz w:val="28"/>
          <w:szCs w:val="28"/>
        </w:rPr>
        <w:t>在</w:t>
      </w:r>
      <w:r>
        <w:rPr>
          <w:rStyle w:val="NormalCharacter"/>
          <w:rFonts w:ascii="宋体" w:eastAsia="宋体" w:hAnsi="宋体" w:cs="宋体" w:hint="eastAsia"/>
          <w:bCs/>
          <w:sz w:val="28"/>
          <w:szCs w:val="28"/>
        </w:rPr>
        <w:t>2</w:t>
      </w:r>
      <w:r w:rsidR="006151FA">
        <w:rPr>
          <w:rStyle w:val="NormalCharacter"/>
          <w:rFonts w:ascii="宋体" w:eastAsia="宋体" w:hAnsi="宋体" w:cs="宋体"/>
          <w:bCs/>
          <w:sz w:val="28"/>
          <w:szCs w:val="28"/>
        </w:rPr>
        <w:t>021</w:t>
      </w:r>
      <w:r w:rsidR="006151FA">
        <w:rPr>
          <w:rStyle w:val="NormalCharacter"/>
          <w:rFonts w:ascii="宋体" w:eastAsia="宋体" w:hAnsi="宋体" w:cs="宋体" w:hint="eastAsia"/>
          <w:bCs/>
          <w:sz w:val="28"/>
          <w:szCs w:val="28"/>
        </w:rPr>
        <w:t>年</w:t>
      </w:r>
      <w:r>
        <w:rPr>
          <w:rStyle w:val="NormalCharacter"/>
          <w:rFonts w:ascii="宋体" w:eastAsia="宋体" w:hAnsi="宋体" w:cs="宋体" w:hint="eastAsia"/>
          <w:bCs/>
          <w:sz w:val="28"/>
          <w:szCs w:val="28"/>
        </w:rPr>
        <w:t>，有</w:t>
      </w:r>
      <w:r>
        <w:rPr>
          <w:rStyle w:val="NormalCharacter"/>
          <w:rFonts w:ascii="宋体" w:eastAsia="宋体" w:hAnsi="宋体" w:cs="宋体"/>
          <w:bCs/>
          <w:sz w:val="28"/>
          <w:szCs w:val="28"/>
        </w:rPr>
        <w:t>4</w:t>
      </w:r>
      <w:r>
        <w:rPr>
          <w:rStyle w:val="NormalCharacter"/>
          <w:rFonts w:ascii="宋体" w:eastAsia="宋体" w:hAnsi="宋体" w:cs="宋体" w:hint="eastAsia"/>
          <w:bCs/>
          <w:sz w:val="28"/>
          <w:szCs w:val="28"/>
        </w:rPr>
        <w:t>位学生获得学业奖学金，</w:t>
      </w:r>
      <w:r>
        <w:rPr>
          <w:rStyle w:val="NormalCharacter"/>
          <w:rFonts w:ascii="宋体" w:eastAsia="宋体" w:hAnsi="宋体" w:cs="宋体"/>
          <w:bCs/>
          <w:sz w:val="28"/>
          <w:szCs w:val="28"/>
        </w:rPr>
        <w:t>3</w:t>
      </w:r>
      <w:r>
        <w:rPr>
          <w:rStyle w:val="NormalCharacter"/>
          <w:rFonts w:ascii="宋体" w:eastAsia="宋体" w:hAnsi="宋体" w:cs="宋体" w:hint="eastAsia"/>
          <w:bCs/>
          <w:sz w:val="28"/>
          <w:szCs w:val="28"/>
        </w:rPr>
        <w:t>位学生获得江西省研究生学业奖学金。</w:t>
      </w:r>
    </w:p>
    <w:tbl>
      <w:tblPr>
        <w:tblpPr w:leftFromText="180" w:rightFromText="180" w:vertAnchor="text" w:tblpXSpec="center" w:tblpY="1"/>
        <w:tblOverlap w:val="neve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695"/>
        <w:gridCol w:w="1395"/>
        <w:gridCol w:w="1455"/>
        <w:gridCol w:w="2025"/>
      </w:tblGrid>
      <w:tr w:rsidR="00CB0E91" w14:paraId="6F182BFF" w14:textId="77777777">
        <w:trPr>
          <w:jc w:val="center"/>
        </w:trPr>
        <w:tc>
          <w:tcPr>
            <w:tcW w:w="1185" w:type="dxa"/>
          </w:tcPr>
          <w:p w14:paraId="1544BB82" w14:textId="77777777" w:rsidR="00CB0E91" w:rsidRDefault="00AC5FF7">
            <w:pPr>
              <w:jc w:val="center"/>
              <w:rPr>
                <w:rFonts w:ascii="方正仿宋简体" w:hAnsi="Times New Roman"/>
                <w:color w:val="000000"/>
                <w:kern w:val="0"/>
                <w:sz w:val="21"/>
                <w:szCs w:val="21"/>
              </w:rPr>
            </w:pPr>
            <w:r>
              <w:rPr>
                <w:rFonts w:ascii="方正仿宋简体" w:hAnsi="Times New Roman" w:hint="eastAsia"/>
                <w:color w:val="000000"/>
                <w:kern w:val="0"/>
                <w:sz w:val="21"/>
                <w:szCs w:val="21"/>
              </w:rPr>
              <w:t>项目名称</w:t>
            </w:r>
          </w:p>
        </w:tc>
        <w:tc>
          <w:tcPr>
            <w:tcW w:w="1695" w:type="dxa"/>
          </w:tcPr>
          <w:p w14:paraId="08DA28F2" w14:textId="77777777" w:rsidR="00CB0E91" w:rsidRDefault="00AC5FF7">
            <w:pPr>
              <w:jc w:val="center"/>
              <w:rPr>
                <w:rFonts w:ascii="方正仿宋简体" w:hAnsi="Times New Roman"/>
                <w:color w:val="000000"/>
                <w:kern w:val="0"/>
                <w:sz w:val="21"/>
                <w:szCs w:val="21"/>
              </w:rPr>
            </w:pPr>
            <w:r>
              <w:rPr>
                <w:rFonts w:ascii="方正仿宋简体" w:hAnsi="Times New Roman" w:hint="eastAsia"/>
                <w:color w:val="000000"/>
                <w:kern w:val="0"/>
                <w:sz w:val="21"/>
                <w:szCs w:val="21"/>
              </w:rPr>
              <w:t>资助类型</w:t>
            </w:r>
          </w:p>
        </w:tc>
        <w:tc>
          <w:tcPr>
            <w:tcW w:w="1395" w:type="dxa"/>
          </w:tcPr>
          <w:p w14:paraId="346180AA" w14:textId="77777777" w:rsidR="00CB0E91" w:rsidRDefault="00AC5FF7">
            <w:pPr>
              <w:jc w:val="center"/>
              <w:rPr>
                <w:rFonts w:ascii="方正仿宋简体" w:hAnsi="Times New Roman"/>
                <w:color w:val="000000"/>
                <w:kern w:val="0"/>
                <w:sz w:val="21"/>
                <w:szCs w:val="21"/>
              </w:rPr>
            </w:pPr>
            <w:r>
              <w:rPr>
                <w:rFonts w:ascii="方正仿宋简体" w:hAnsi="Times New Roman" w:hint="eastAsia"/>
                <w:color w:val="000000"/>
                <w:kern w:val="0"/>
                <w:sz w:val="21"/>
                <w:szCs w:val="21"/>
              </w:rPr>
              <w:t>学生姓名</w:t>
            </w:r>
          </w:p>
        </w:tc>
        <w:tc>
          <w:tcPr>
            <w:tcW w:w="1455" w:type="dxa"/>
          </w:tcPr>
          <w:p w14:paraId="1B91CECE" w14:textId="77777777" w:rsidR="00CB0E91" w:rsidRDefault="00AC5FF7">
            <w:pPr>
              <w:jc w:val="center"/>
              <w:rPr>
                <w:rFonts w:ascii="方正仿宋简体" w:hAnsi="Times New Roman"/>
                <w:color w:val="000000"/>
                <w:kern w:val="0"/>
                <w:sz w:val="21"/>
                <w:szCs w:val="21"/>
              </w:rPr>
            </w:pPr>
            <w:r>
              <w:rPr>
                <w:rFonts w:ascii="方正仿宋简体" w:hAnsi="Times New Roman" w:hint="eastAsia"/>
                <w:color w:val="000000"/>
                <w:kern w:val="0"/>
                <w:sz w:val="21"/>
                <w:szCs w:val="21"/>
              </w:rPr>
              <w:t>年级</w:t>
            </w:r>
          </w:p>
        </w:tc>
        <w:tc>
          <w:tcPr>
            <w:tcW w:w="2025" w:type="dxa"/>
          </w:tcPr>
          <w:p w14:paraId="43B76E88" w14:textId="77777777" w:rsidR="00CB0E91" w:rsidRDefault="00AC5FF7">
            <w:pPr>
              <w:jc w:val="center"/>
              <w:rPr>
                <w:rFonts w:ascii="方正仿宋简体" w:hAnsi="Times New Roman"/>
                <w:color w:val="000000"/>
                <w:kern w:val="0"/>
                <w:sz w:val="21"/>
                <w:szCs w:val="21"/>
              </w:rPr>
            </w:pPr>
            <w:r>
              <w:rPr>
                <w:rFonts w:ascii="方正仿宋简体" w:hAnsi="Times New Roman" w:hint="eastAsia"/>
                <w:color w:val="000000"/>
                <w:kern w:val="0"/>
                <w:sz w:val="21"/>
                <w:szCs w:val="21"/>
              </w:rPr>
              <w:t>专业</w:t>
            </w:r>
          </w:p>
        </w:tc>
      </w:tr>
      <w:tr w:rsidR="00CB0E91" w14:paraId="4F417C96" w14:textId="77777777">
        <w:trPr>
          <w:trHeight w:val="224"/>
          <w:jc w:val="center"/>
        </w:trPr>
        <w:tc>
          <w:tcPr>
            <w:tcW w:w="1185" w:type="dxa"/>
            <w:vMerge w:val="restart"/>
            <w:vAlign w:val="center"/>
          </w:tcPr>
          <w:p w14:paraId="0D5CD89D" w14:textId="04520B8F" w:rsidR="00CB0E91" w:rsidRDefault="006151FA" w:rsidP="006151FA">
            <w:pP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奖学金</w:t>
            </w:r>
          </w:p>
        </w:tc>
        <w:tc>
          <w:tcPr>
            <w:tcW w:w="1695" w:type="dxa"/>
            <w:vMerge w:val="restart"/>
            <w:vAlign w:val="center"/>
          </w:tcPr>
          <w:p w14:paraId="3DEEC5FE"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cs="宋体" w:hint="eastAsia"/>
                <w:color w:val="000000"/>
                <w:kern w:val="0"/>
                <w:sz w:val="24"/>
                <w:szCs w:val="21"/>
              </w:rPr>
              <w:t>学业奖学金</w:t>
            </w:r>
          </w:p>
        </w:tc>
        <w:tc>
          <w:tcPr>
            <w:tcW w:w="1395" w:type="dxa"/>
            <w:vAlign w:val="center"/>
          </w:tcPr>
          <w:p w14:paraId="0C2E7BA4"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cs="宋体" w:hint="eastAsia"/>
                <w:color w:val="000000"/>
                <w:kern w:val="0"/>
                <w:sz w:val="24"/>
                <w:szCs w:val="21"/>
              </w:rPr>
              <w:t>叶欣</w:t>
            </w:r>
          </w:p>
        </w:tc>
        <w:tc>
          <w:tcPr>
            <w:tcW w:w="1455" w:type="dxa"/>
            <w:vAlign w:val="center"/>
          </w:tcPr>
          <w:p w14:paraId="6E49F84D"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020</w:t>
            </w:r>
            <w:r>
              <w:rPr>
                <w:rFonts w:ascii="Times New Roman" w:eastAsia="仿宋_GB2312" w:hAnsi="Times New Roman" w:hint="eastAsia"/>
                <w:color w:val="000000"/>
                <w:kern w:val="0"/>
                <w:sz w:val="21"/>
                <w:szCs w:val="21"/>
              </w:rPr>
              <w:t>级</w:t>
            </w:r>
          </w:p>
        </w:tc>
        <w:tc>
          <w:tcPr>
            <w:tcW w:w="2025" w:type="dxa"/>
            <w:vAlign w:val="center"/>
          </w:tcPr>
          <w:p w14:paraId="26C784E1"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旅游管理（专硕）</w:t>
            </w:r>
          </w:p>
        </w:tc>
      </w:tr>
      <w:tr w:rsidR="00CB0E91" w14:paraId="49EB4150" w14:textId="77777777">
        <w:trPr>
          <w:trHeight w:val="410"/>
          <w:jc w:val="center"/>
        </w:trPr>
        <w:tc>
          <w:tcPr>
            <w:tcW w:w="1185" w:type="dxa"/>
            <w:vMerge/>
            <w:vAlign w:val="center"/>
          </w:tcPr>
          <w:p w14:paraId="1E555FF5" w14:textId="77777777" w:rsidR="00CB0E91" w:rsidRDefault="00CB0E91">
            <w:pPr>
              <w:ind w:firstLineChars="100" w:firstLine="210"/>
              <w:rPr>
                <w:rFonts w:ascii="Times New Roman" w:eastAsia="仿宋_GB2312" w:hAnsi="Times New Roman"/>
                <w:color w:val="000000"/>
                <w:kern w:val="0"/>
                <w:sz w:val="21"/>
                <w:szCs w:val="21"/>
              </w:rPr>
            </w:pPr>
          </w:p>
        </w:tc>
        <w:tc>
          <w:tcPr>
            <w:tcW w:w="1695" w:type="dxa"/>
            <w:vMerge/>
            <w:vAlign w:val="center"/>
          </w:tcPr>
          <w:p w14:paraId="4C4F0F32" w14:textId="77777777" w:rsidR="00CB0E91" w:rsidRDefault="00CB0E91">
            <w:pPr>
              <w:jc w:val="center"/>
              <w:rPr>
                <w:rFonts w:ascii="Times New Roman" w:eastAsia="仿宋_GB2312" w:hAnsi="Times New Roman" w:cs="宋体"/>
                <w:color w:val="000000"/>
                <w:kern w:val="0"/>
                <w:sz w:val="24"/>
                <w:szCs w:val="21"/>
              </w:rPr>
            </w:pPr>
          </w:p>
        </w:tc>
        <w:tc>
          <w:tcPr>
            <w:tcW w:w="1395" w:type="dxa"/>
            <w:vAlign w:val="center"/>
          </w:tcPr>
          <w:p w14:paraId="1006DF29" w14:textId="77777777" w:rsidR="00CB0E91" w:rsidRDefault="00AC5FF7">
            <w:pPr>
              <w:jc w:val="center"/>
              <w:rPr>
                <w:rFonts w:ascii="Times New Roman" w:eastAsia="仿宋_GB2312" w:hAnsi="Times New Roman" w:cs="宋体"/>
                <w:color w:val="000000"/>
                <w:kern w:val="0"/>
                <w:sz w:val="24"/>
                <w:szCs w:val="21"/>
              </w:rPr>
            </w:pPr>
            <w:r>
              <w:rPr>
                <w:rFonts w:ascii="Times New Roman" w:eastAsia="仿宋_GB2312" w:hAnsi="Times New Roman" w:cs="宋体" w:hint="eastAsia"/>
                <w:color w:val="000000"/>
                <w:kern w:val="0"/>
                <w:sz w:val="24"/>
                <w:szCs w:val="21"/>
              </w:rPr>
              <w:t>汤欣茹</w:t>
            </w:r>
          </w:p>
        </w:tc>
        <w:tc>
          <w:tcPr>
            <w:tcW w:w="1455" w:type="dxa"/>
            <w:vAlign w:val="center"/>
          </w:tcPr>
          <w:p w14:paraId="72ABF43E"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020</w:t>
            </w:r>
            <w:r>
              <w:rPr>
                <w:rFonts w:ascii="Times New Roman" w:eastAsia="仿宋_GB2312" w:hAnsi="Times New Roman" w:hint="eastAsia"/>
                <w:color w:val="000000"/>
                <w:kern w:val="0"/>
                <w:sz w:val="21"/>
                <w:szCs w:val="21"/>
              </w:rPr>
              <w:t>级</w:t>
            </w:r>
          </w:p>
        </w:tc>
        <w:tc>
          <w:tcPr>
            <w:tcW w:w="2025" w:type="dxa"/>
            <w:vAlign w:val="center"/>
          </w:tcPr>
          <w:p w14:paraId="49C5F23F"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旅游管理（学硕）</w:t>
            </w:r>
          </w:p>
        </w:tc>
      </w:tr>
      <w:tr w:rsidR="00CB0E91" w14:paraId="60E2685B" w14:textId="77777777">
        <w:trPr>
          <w:trHeight w:val="224"/>
          <w:jc w:val="center"/>
        </w:trPr>
        <w:tc>
          <w:tcPr>
            <w:tcW w:w="1185" w:type="dxa"/>
            <w:vMerge/>
            <w:vAlign w:val="center"/>
          </w:tcPr>
          <w:p w14:paraId="61357F84" w14:textId="77777777" w:rsidR="00CB0E91" w:rsidRDefault="00CB0E91">
            <w:pPr>
              <w:ind w:firstLineChars="100" w:firstLine="210"/>
              <w:rPr>
                <w:rFonts w:ascii="Times New Roman" w:eastAsia="仿宋_GB2312" w:hAnsi="Times New Roman"/>
                <w:color w:val="000000"/>
                <w:kern w:val="0"/>
                <w:sz w:val="21"/>
                <w:szCs w:val="21"/>
              </w:rPr>
            </w:pPr>
          </w:p>
        </w:tc>
        <w:tc>
          <w:tcPr>
            <w:tcW w:w="1695" w:type="dxa"/>
            <w:vMerge/>
            <w:vAlign w:val="center"/>
          </w:tcPr>
          <w:p w14:paraId="5C69C28B" w14:textId="77777777" w:rsidR="00CB0E91" w:rsidRDefault="00CB0E91">
            <w:pPr>
              <w:jc w:val="center"/>
              <w:rPr>
                <w:rFonts w:ascii="Times New Roman" w:eastAsia="仿宋_GB2312" w:hAnsi="Times New Roman" w:cs="宋体"/>
                <w:color w:val="000000"/>
                <w:kern w:val="0"/>
                <w:sz w:val="24"/>
                <w:szCs w:val="21"/>
              </w:rPr>
            </w:pPr>
          </w:p>
        </w:tc>
        <w:tc>
          <w:tcPr>
            <w:tcW w:w="1395" w:type="dxa"/>
            <w:vAlign w:val="center"/>
          </w:tcPr>
          <w:p w14:paraId="6059354C" w14:textId="77777777" w:rsidR="00CB0E91" w:rsidRDefault="00AC5FF7">
            <w:pPr>
              <w:jc w:val="center"/>
              <w:rPr>
                <w:rFonts w:ascii="Times New Roman" w:eastAsia="仿宋_GB2312" w:hAnsi="Times New Roman" w:cs="宋体"/>
                <w:color w:val="000000"/>
                <w:kern w:val="0"/>
                <w:sz w:val="24"/>
                <w:szCs w:val="21"/>
              </w:rPr>
            </w:pPr>
            <w:r>
              <w:rPr>
                <w:rFonts w:ascii="Times New Roman" w:eastAsia="仿宋_GB2312" w:hAnsi="Times New Roman" w:cs="宋体" w:hint="eastAsia"/>
                <w:color w:val="000000"/>
                <w:kern w:val="0"/>
                <w:sz w:val="24"/>
                <w:szCs w:val="21"/>
              </w:rPr>
              <w:t>温丽</w:t>
            </w:r>
          </w:p>
        </w:tc>
        <w:tc>
          <w:tcPr>
            <w:tcW w:w="1455" w:type="dxa"/>
            <w:vAlign w:val="center"/>
          </w:tcPr>
          <w:p w14:paraId="595E868A"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019</w:t>
            </w:r>
            <w:r>
              <w:rPr>
                <w:rFonts w:ascii="Times New Roman" w:eastAsia="仿宋_GB2312" w:hAnsi="Times New Roman" w:hint="eastAsia"/>
                <w:color w:val="000000"/>
                <w:kern w:val="0"/>
                <w:sz w:val="21"/>
                <w:szCs w:val="21"/>
              </w:rPr>
              <w:t>级</w:t>
            </w:r>
          </w:p>
        </w:tc>
        <w:tc>
          <w:tcPr>
            <w:tcW w:w="2025" w:type="dxa"/>
            <w:vAlign w:val="center"/>
          </w:tcPr>
          <w:p w14:paraId="1A5C457C"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旅游管理（学硕）</w:t>
            </w:r>
          </w:p>
        </w:tc>
      </w:tr>
      <w:tr w:rsidR="00CB0E91" w14:paraId="075544EB" w14:textId="77777777">
        <w:trPr>
          <w:trHeight w:val="224"/>
          <w:jc w:val="center"/>
        </w:trPr>
        <w:tc>
          <w:tcPr>
            <w:tcW w:w="1185" w:type="dxa"/>
            <w:vMerge/>
            <w:vAlign w:val="center"/>
          </w:tcPr>
          <w:p w14:paraId="68CA61BE" w14:textId="77777777" w:rsidR="00CB0E91" w:rsidRDefault="00CB0E91">
            <w:pPr>
              <w:ind w:firstLineChars="100" w:firstLine="210"/>
              <w:rPr>
                <w:rFonts w:ascii="Times New Roman" w:eastAsia="仿宋_GB2312" w:hAnsi="Times New Roman"/>
                <w:color w:val="000000"/>
                <w:kern w:val="0"/>
                <w:sz w:val="21"/>
                <w:szCs w:val="21"/>
              </w:rPr>
            </w:pPr>
          </w:p>
        </w:tc>
        <w:tc>
          <w:tcPr>
            <w:tcW w:w="1695" w:type="dxa"/>
            <w:vMerge/>
            <w:vAlign w:val="center"/>
          </w:tcPr>
          <w:p w14:paraId="3714AB70" w14:textId="77777777" w:rsidR="00CB0E91" w:rsidRDefault="00CB0E91">
            <w:pPr>
              <w:jc w:val="center"/>
              <w:rPr>
                <w:rFonts w:ascii="Times New Roman" w:eastAsia="仿宋_GB2312" w:hAnsi="Times New Roman" w:cs="宋体"/>
                <w:color w:val="000000"/>
                <w:kern w:val="0"/>
                <w:sz w:val="24"/>
                <w:szCs w:val="21"/>
              </w:rPr>
            </w:pPr>
          </w:p>
        </w:tc>
        <w:tc>
          <w:tcPr>
            <w:tcW w:w="1395" w:type="dxa"/>
            <w:vAlign w:val="center"/>
          </w:tcPr>
          <w:p w14:paraId="2F01B35E" w14:textId="77777777" w:rsidR="00CB0E91" w:rsidRDefault="00AC5FF7">
            <w:pPr>
              <w:jc w:val="center"/>
              <w:rPr>
                <w:rFonts w:ascii="Times New Roman" w:eastAsia="仿宋_GB2312" w:hAnsi="Times New Roman" w:cs="宋体"/>
                <w:color w:val="000000"/>
                <w:kern w:val="0"/>
                <w:sz w:val="24"/>
                <w:szCs w:val="21"/>
              </w:rPr>
            </w:pPr>
            <w:r>
              <w:rPr>
                <w:rFonts w:ascii="Times New Roman" w:eastAsia="仿宋_GB2312" w:hAnsi="Times New Roman" w:cs="宋体" w:hint="eastAsia"/>
                <w:color w:val="000000"/>
                <w:kern w:val="0"/>
                <w:sz w:val="24"/>
                <w:szCs w:val="21"/>
              </w:rPr>
              <w:t>马婧妮</w:t>
            </w:r>
          </w:p>
        </w:tc>
        <w:tc>
          <w:tcPr>
            <w:tcW w:w="1455" w:type="dxa"/>
            <w:vAlign w:val="center"/>
          </w:tcPr>
          <w:p w14:paraId="6F4AE228"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019</w:t>
            </w:r>
            <w:r>
              <w:rPr>
                <w:rFonts w:ascii="Times New Roman" w:eastAsia="仿宋_GB2312" w:hAnsi="Times New Roman" w:hint="eastAsia"/>
                <w:color w:val="000000"/>
                <w:kern w:val="0"/>
                <w:sz w:val="21"/>
                <w:szCs w:val="21"/>
              </w:rPr>
              <w:t>级</w:t>
            </w:r>
          </w:p>
        </w:tc>
        <w:tc>
          <w:tcPr>
            <w:tcW w:w="2025" w:type="dxa"/>
            <w:vAlign w:val="center"/>
          </w:tcPr>
          <w:p w14:paraId="26D2FD89"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旅游管理（学硕）</w:t>
            </w:r>
          </w:p>
        </w:tc>
      </w:tr>
      <w:tr w:rsidR="00CB0E91" w14:paraId="3BF555F2" w14:textId="77777777">
        <w:trPr>
          <w:trHeight w:val="132"/>
          <w:jc w:val="center"/>
        </w:trPr>
        <w:tc>
          <w:tcPr>
            <w:tcW w:w="1185" w:type="dxa"/>
            <w:vMerge/>
            <w:vAlign w:val="center"/>
          </w:tcPr>
          <w:p w14:paraId="6D419E2C" w14:textId="77777777" w:rsidR="00CB0E91" w:rsidRDefault="00CB0E91">
            <w:pPr>
              <w:ind w:firstLineChars="100" w:firstLine="210"/>
              <w:rPr>
                <w:rFonts w:ascii="Times New Roman" w:eastAsia="仿宋_GB2312" w:hAnsi="Times New Roman"/>
                <w:color w:val="000000"/>
                <w:kern w:val="0"/>
                <w:sz w:val="21"/>
                <w:szCs w:val="21"/>
              </w:rPr>
            </w:pPr>
          </w:p>
        </w:tc>
        <w:tc>
          <w:tcPr>
            <w:tcW w:w="1695" w:type="dxa"/>
            <w:vMerge w:val="restart"/>
            <w:vAlign w:val="center"/>
          </w:tcPr>
          <w:p w14:paraId="095DDDAC" w14:textId="7C71A6EB" w:rsidR="00CB0E91" w:rsidRDefault="006151FA" w:rsidP="006151FA">
            <w:pPr>
              <w:rPr>
                <w:rFonts w:ascii="Times New Roman" w:eastAsia="仿宋_GB2312" w:hAnsi="Times New Roman"/>
                <w:color w:val="000000"/>
                <w:kern w:val="0"/>
                <w:sz w:val="21"/>
                <w:szCs w:val="21"/>
              </w:rPr>
            </w:pPr>
            <w:r>
              <w:rPr>
                <w:rFonts w:ascii="Times New Roman" w:eastAsia="仿宋_GB2312" w:hAnsi="Times New Roman" w:cs="宋体" w:hint="eastAsia"/>
                <w:color w:val="000000"/>
                <w:kern w:val="0"/>
                <w:sz w:val="24"/>
                <w:szCs w:val="21"/>
              </w:rPr>
              <w:t>江西省研究生学业奖学金</w:t>
            </w:r>
          </w:p>
        </w:tc>
        <w:tc>
          <w:tcPr>
            <w:tcW w:w="1395" w:type="dxa"/>
            <w:vAlign w:val="center"/>
          </w:tcPr>
          <w:p w14:paraId="710DC14F"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王丽</w:t>
            </w:r>
          </w:p>
        </w:tc>
        <w:tc>
          <w:tcPr>
            <w:tcW w:w="1455" w:type="dxa"/>
            <w:vAlign w:val="center"/>
          </w:tcPr>
          <w:p w14:paraId="37BDEBE3"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019</w:t>
            </w:r>
            <w:r>
              <w:rPr>
                <w:rFonts w:ascii="Times New Roman" w:eastAsia="仿宋_GB2312" w:hAnsi="Times New Roman" w:hint="eastAsia"/>
                <w:color w:val="000000"/>
                <w:kern w:val="0"/>
                <w:sz w:val="21"/>
                <w:szCs w:val="21"/>
              </w:rPr>
              <w:t>级</w:t>
            </w:r>
          </w:p>
        </w:tc>
        <w:tc>
          <w:tcPr>
            <w:tcW w:w="2025" w:type="dxa"/>
            <w:vAlign w:val="center"/>
          </w:tcPr>
          <w:p w14:paraId="0C0F246E"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旅游管理（专硕）</w:t>
            </w:r>
          </w:p>
        </w:tc>
      </w:tr>
      <w:tr w:rsidR="00CB0E91" w14:paraId="57C70455" w14:textId="77777777">
        <w:trPr>
          <w:trHeight w:val="132"/>
          <w:jc w:val="center"/>
        </w:trPr>
        <w:tc>
          <w:tcPr>
            <w:tcW w:w="1185" w:type="dxa"/>
            <w:vMerge/>
            <w:vAlign w:val="center"/>
          </w:tcPr>
          <w:p w14:paraId="4DEEF16A" w14:textId="77777777" w:rsidR="00CB0E91" w:rsidRDefault="00CB0E91">
            <w:pPr>
              <w:ind w:firstLineChars="100" w:firstLine="210"/>
              <w:rPr>
                <w:rFonts w:ascii="Times New Roman" w:eastAsia="仿宋_GB2312" w:hAnsi="Times New Roman"/>
                <w:color w:val="000000"/>
                <w:kern w:val="0"/>
                <w:sz w:val="21"/>
                <w:szCs w:val="21"/>
              </w:rPr>
            </w:pPr>
          </w:p>
        </w:tc>
        <w:tc>
          <w:tcPr>
            <w:tcW w:w="1695" w:type="dxa"/>
            <w:vMerge/>
            <w:vAlign w:val="center"/>
          </w:tcPr>
          <w:p w14:paraId="62B05ACE" w14:textId="77777777" w:rsidR="00CB0E91" w:rsidRDefault="00CB0E91">
            <w:pPr>
              <w:jc w:val="center"/>
              <w:rPr>
                <w:rFonts w:ascii="Times New Roman" w:eastAsia="仿宋_GB2312" w:hAnsi="Times New Roman" w:cs="宋体"/>
                <w:color w:val="000000"/>
                <w:kern w:val="0"/>
                <w:sz w:val="24"/>
                <w:szCs w:val="21"/>
              </w:rPr>
            </w:pPr>
          </w:p>
        </w:tc>
        <w:tc>
          <w:tcPr>
            <w:tcW w:w="1395" w:type="dxa"/>
            <w:vAlign w:val="center"/>
          </w:tcPr>
          <w:p w14:paraId="22986EE0"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李珊珊</w:t>
            </w:r>
          </w:p>
        </w:tc>
        <w:tc>
          <w:tcPr>
            <w:tcW w:w="1455" w:type="dxa"/>
            <w:vAlign w:val="center"/>
          </w:tcPr>
          <w:p w14:paraId="4CE23947"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019</w:t>
            </w:r>
            <w:r>
              <w:rPr>
                <w:rFonts w:ascii="Times New Roman" w:eastAsia="仿宋_GB2312" w:hAnsi="Times New Roman" w:hint="eastAsia"/>
                <w:color w:val="000000"/>
                <w:kern w:val="0"/>
                <w:sz w:val="21"/>
                <w:szCs w:val="21"/>
              </w:rPr>
              <w:t>级</w:t>
            </w:r>
          </w:p>
        </w:tc>
        <w:tc>
          <w:tcPr>
            <w:tcW w:w="2025" w:type="dxa"/>
            <w:vAlign w:val="center"/>
          </w:tcPr>
          <w:p w14:paraId="1DBC3196"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旅游管理（专硕）</w:t>
            </w:r>
          </w:p>
        </w:tc>
      </w:tr>
      <w:tr w:rsidR="00CB0E91" w14:paraId="0624DDC6" w14:textId="77777777">
        <w:trPr>
          <w:trHeight w:val="132"/>
          <w:jc w:val="center"/>
        </w:trPr>
        <w:tc>
          <w:tcPr>
            <w:tcW w:w="1185" w:type="dxa"/>
            <w:vMerge/>
            <w:vAlign w:val="center"/>
          </w:tcPr>
          <w:p w14:paraId="08FE1D9B" w14:textId="77777777" w:rsidR="00CB0E91" w:rsidRDefault="00CB0E91">
            <w:pPr>
              <w:ind w:firstLineChars="100" w:firstLine="210"/>
              <w:rPr>
                <w:rFonts w:ascii="Times New Roman" w:eastAsia="仿宋_GB2312" w:hAnsi="Times New Roman"/>
                <w:color w:val="000000"/>
                <w:kern w:val="0"/>
                <w:sz w:val="21"/>
                <w:szCs w:val="21"/>
              </w:rPr>
            </w:pPr>
          </w:p>
        </w:tc>
        <w:tc>
          <w:tcPr>
            <w:tcW w:w="1695" w:type="dxa"/>
            <w:vMerge/>
            <w:vAlign w:val="center"/>
          </w:tcPr>
          <w:p w14:paraId="17C265EE" w14:textId="77777777" w:rsidR="00CB0E91" w:rsidRDefault="00CB0E91">
            <w:pPr>
              <w:jc w:val="center"/>
              <w:rPr>
                <w:rFonts w:ascii="Times New Roman" w:eastAsia="仿宋_GB2312" w:hAnsi="Times New Roman" w:cs="宋体"/>
                <w:color w:val="000000"/>
                <w:kern w:val="0"/>
                <w:sz w:val="24"/>
                <w:szCs w:val="21"/>
              </w:rPr>
            </w:pPr>
          </w:p>
        </w:tc>
        <w:tc>
          <w:tcPr>
            <w:tcW w:w="1395" w:type="dxa"/>
            <w:vAlign w:val="center"/>
          </w:tcPr>
          <w:p w14:paraId="17CD0BCB"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梁鸿婷</w:t>
            </w:r>
          </w:p>
        </w:tc>
        <w:tc>
          <w:tcPr>
            <w:tcW w:w="1455" w:type="dxa"/>
            <w:vAlign w:val="center"/>
          </w:tcPr>
          <w:p w14:paraId="304A244B"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2</w:t>
            </w:r>
            <w:r>
              <w:rPr>
                <w:rFonts w:ascii="Times New Roman" w:eastAsia="仿宋_GB2312" w:hAnsi="Times New Roman"/>
                <w:color w:val="000000"/>
                <w:kern w:val="0"/>
                <w:sz w:val="21"/>
                <w:szCs w:val="21"/>
              </w:rPr>
              <w:t>020</w:t>
            </w:r>
            <w:r>
              <w:rPr>
                <w:rFonts w:ascii="Times New Roman" w:eastAsia="仿宋_GB2312" w:hAnsi="Times New Roman" w:hint="eastAsia"/>
                <w:color w:val="000000"/>
                <w:kern w:val="0"/>
                <w:sz w:val="21"/>
                <w:szCs w:val="21"/>
              </w:rPr>
              <w:t>级</w:t>
            </w:r>
          </w:p>
        </w:tc>
        <w:tc>
          <w:tcPr>
            <w:tcW w:w="2025" w:type="dxa"/>
            <w:vAlign w:val="center"/>
          </w:tcPr>
          <w:p w14:paraId="275F17E8" w14:textId="77777777" w:rsidR="00CB0E91" w:rsidRDefault="00AC5FF7">
            <w:pPr>
              <w:jc w:val="center"/>
              <w:rPr>
                <w:rFonts w:ascii="Times New Roman" w:eastAsia="仿宋_GB2312" w:hAnsi="Times New Roman"/>
                <w:color w:val="000000"/>
                <w:kern w:val="0"/>
                <w:sz w:val="21"/>
                <w:szCs w:val="21"/>
              </w:rPr>
            </w:pPr>
            <w:r>
              <w:rPr>
                <w:rFonts w:ascii="Times New Roman" w:eastAsia="仿宋_GB2312" w:hAnsi="Times New Roman" w:hint="eastAsia"/>
                <w:color w:val="000000"/>
                <w:kern w:val="0"/>
                <w:sz w:val="21"/>
                <w:szCs w:val="21"/>
              </w:rPr>
              <w:t>旅游管理（学硕）</w:t>
            </w:r>
          </w:p>
        </w:tc>
      </w:tr>
    </w:tbl>
    <w:p w14:paraId="4F5CBB23" w14:textId="77777777" w:rsidR="00CB0E91" w:rsidRDefault="00AC5FF7">
      <w:pPr>
        <w:pStyle w:val="1"/>
        <w:spacing w:line="360" w:lineRule="auto"/>
        <w:rPr>
          <w:rStyle w:val="NormalCharacter"/>
          <w:rFonts w:asciiTheme="minorEastAsia" w:eastAsiaTheme="minorEastAsia" w:hAnsiTheme="minorEastAsia"/>
          <w:sz w:val="32"/>
        </w:rPr>
      </w:pPr>
      <w:r>
        <w:rPr>
          <w:rStyle w:val="NormalCharacter"/>
          <w:rFonts w:asciiTheme="minorEastAsia" w:eastAsiaTheme="minorEastAsia" w:hAnsiTheme="minorEastAsia" w:hint="eastAsia"/>
          <w:sz w:val="32"/>
        </w:rPr>
        <w:lastRenderedPageBreak/>
        <w:t>四、研究生教育改革情况</w:t>
      </w:r>
    </w:p>
    <w:p w14:paraId="33840F1F" w14:textId="77777777" w:rsidR="00CB0E91" w:rsidRDefault="00AC5FF7" w:rsidP="00162DC2">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（一）人才培养</w:t>
      </w:r>
    </w:p>
    <w:p w14:paraId="6C44F732" w14:textId="77777777" w:rsidR="00CB0E91" w:rsidRDefault="00AC5FF7" w:rsidP="00162DC2">
      <w:pPr>
        <w:pStyle w:val="11"/>
        <w:adjustRightInd w:val="0"/>
        <w:snapToGrid w:val="0"/>
        <w:spacing w:line="360" w:lineRule="auto"/>
        <w:ind w:firstLine="560"/>
        <w:textAlignment w:val="center"/>
        <w:rPr>
          <w:rStyle w:val="NormalCharacter"/>
          <w:rFonts w:ascii="宋体" w:eastAsia="宋体" w:hAnsi="宋体" w:cs="宋体"/>
          <w:bCs/>
          <w:sz w:val="28"/>
          <w:szCs w:val="28"/>
        </w:rPr>
      </w:pPr>
      <w:r>
        <w:rPr>
          <w:rStyle w:val="NormalCharacter"/>
          <w:rFonts w:ascii="宋体" w:eastAsia="宋体" w:hAnsi="宋体" w:cs="宋体" w:hint="eastAsia"/>
          <w:bCs/>
          <w:sz w:val="28"/>
          <w:szCs w:val="28"/>
        </w:rPr>
        <w:t>1.培养目标：</w:t>
      </w:r>
    </w:p>
    <w:p w14:paraId="2CCC1853" w14:textId="77777777" w:rsidR="00CB0E91" w:rsidRDefault="00AC5FF7">
      <w:pPr>
        <w:pStyle w:val="11"/>
        <w:adjustRightInd w:val="0"/>
        <w:snapToGrid w:val="0"/>
        <w:spacing w:line="360" w:lineRule="auto"/>
        <w:ind w:firstLine="560"/>
        <w:textAlignment w:val="center"/>
        <w:rPr>
          <w:rStyle w:val="NormalCharacter"/>
          <w:rFonts w:ascii="宋体" w:eastAsia="宋体" w:hAnsi="宋体" w:cs="宋体"/>
          <w:bCs/>
          <w:sz w:val="28"/>
          <w:szCs w:val="28"/>
        </w:rPr>
      </w:pPr>
      <w:r>
        <w:rPr>
          <w:rStyle w:val="NormalCharacter"/>
          <w:rFonts w:ascii="宋体" w:eastAsia="宋体" w:hAnsi="宋体" w:cs="宋体" w:hint="eastAsia"/>
          <w:bCs/>
          <w:sz w:val="28"/>
          <w:szCs w:val="28"/>
        </w:rPr>
        <w:t>一是根据《MTA指导性培养方案》要求，制定了符合本校及地方实际的MTA培养方案。</w:t>
      </w:r>
      <w:proofErr w:type="gramStart"/>
      <w:r>
        <w:rPr>
          <w:rStyle w:val="NormalCharacter"/>
          <w:rFonts w:ascii="宋体" w:eastAsia="宋体" w:hAnsi="宋体" w:cs="宋体" w:hint="eastAsia"/>
          <w:bCs/>
          <w:sz w:val="28"/>
          <w:szCs w:val="28"/>
        </w:rPr>
        <w:t>按照教指委</w:t>
      </w:r>
      <w:proofErr w:type="gramEnd"/>
      <w:r>
        <w:rPr>
          <w:rStyle w:val="NormalCharacter"/>
          <w:rFonts w:ascii="宋体" w:eastAsia="宋体" w:hAnsi="宋体" w:cs="宋体" w:hint="eastAsia"/>
          <w:bCs/>
          <w:sz w:val="28"/>
          <w:szCs w:val="28"/>
        </w:rPr>
        <w:t>《MTA指导性培养方案》中关于“培养具有社会责任感、创业创新能力和旅游职业素养、具备国际化视野和战略思维能力、能够胜任现代旅游业与相关行业实际工作的高层次、应用型专门人才”的要求，制定了切合学校及地方特色的培养方案。结合江西科技师范大学职教师资培养的办学特色，坚持为江西培养旅游业各类高级专门人才；二是对照江西旅游发展需求和学校特色，培养各类高级专门人才。结合江西省“旅游强省战略”，创新旅游人才培养模式，优化旅游人才队伍结构，实施人才兴旅战略；结合“乡村振兴战略”，加强乡村旅游管理人才培养。三是注重理论联系实际，体现学术性与应用性结合。实行科学研究的规范训练与工作实践的能力训练相结合的方式，为每名学生配备分别来自学界和业界的两名指导教师。毕业生学位论文由校内导师和按学校规定程序推荐审定的业务水平高、政策水平强、责任心突出、管理经验丰富的校外专家联合指导，以校内导师指导为主，校外导师参与实践过程、管理项目研究、有关课程和论文等不同环节的指导工作，努力实现MTA培养的学术性与应用性结合。</w:t>
      </w:r>
    </w:p>
    <w:p w14:paraId="2CCDF601" w14:textId="77777777" w:rsidR="00CB0E91" w:rsidRDefault="00AC5FF7">
      <w:pPr>
        <w:pStyle w:val="11"/>
        <w:adjustRightInd w:val="0"/>
        <w:snapToGrid w:val="0"/>
        <w:spacing w:line="360" w:lineRule="auto"/>
        <w:ind w:firstLine="560"/>
        <w:textAlignment w:val="center"/>
        <w:rPr>
          <w:rStyle w:val="NormalCharacter"/>
          <w:rFonts w:ascii="宋体" w:eastAsia="宋体" w:hAnsi="宋体" w:cs="宋体"/>
          <w:bCs/>
          <w:sz w:val="28"/>
          <w:szCs w:val="28"/>
        </w:rPr>
      </w:pPr>
      <w:r>
        <w:rPr>
          <w:rStyle w:val="NormalCharacter"/>
          <w:rFonts w:ascii="宋体" w:eastAsia="宋体" w:hAnsi="宋体" w:cs="宋体" w:hint="eastAsia"/>
          <w:bCs/>
          <w:sz w:val="28"/>
          <w:szCs w:val="28"/>
        </w:rPr>
        <w:t>2.培养方式:</w:t>
      </w:r>
    </w:p>
    <w:p w14:paraId="746353A2" w14:textId="77777777" w:rsidR="00CB0E91" w:rsidRDefault="00AC5FF7">
      <w:pPr>
        <w:pStyle w:val="11"/>
        <w:adjustRightInd w:val="0"/>
        <w:snapToGrid w:val="0"/>
        <w:spacing w:line="360" w:lineRule="auto"/>
        <w:ind w:firstLine="560"/>
        <w:textAlignment w:val="center"/>
        <w:rPr>
          <w:rStyle w:val="NormalCharacter"/>
          <w:rFonts w:ascii="宋体" w:eastAsia="宋体" w:hAnsi="宋体" w:cs="宋体"/>
          <w:bCs/>
          <w:sz w:val="28"/>
          <w:szCs w:val="28"/>
        </w:rPr>
      </w:pPr>
      <w:r>
        <w:rPr>
          <w:rStyle w:val="NormalCharacter"/>
          <w:rFonts w:ascii="宋体" w:eastAsia="宋体" w:hAnsi="宋体" w:cs="宋体" w:hint="eastAsia"/>
          <w:bCs/>
          <w:sz w:val="28"/>
          <w:szCs w:val="28"/>
        </w:rPr>
        <w:t>（1）采用课程学习、社会实践和学位论文紧密结合的培养方式。研究生入学后第一学期内应在导师指导下制订并开始执行个人培养计划。</w:t>
      </w:r>
    </w:p>
    <w:p w14:paraId="218C74CD" w14:textId="77777777" w:rsidR="00CB0E91" w:rsidRDefault="00AC5FF7">
      <w:pPr>
        <w:widowControl/>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lastRenderedPageBreak/>
        <w:t>（2）课程教学重视理论与实践相结合，教学过程密切联系我国旅游业发展的实际问题，教学内容重视基本理论及实际应用，采用课堂参与、小组研讨、案例教学、合作学习、模拟教学等方式。</w:t>
      </w:r>
    </w:p>
    <w:p w14:paraId="24699532" w14:textId="77777777" w:rsidR="00CB0E91" w:rsidRDefault="00AC5FF7">
      <w:pPr>
        <w:widowControl/>
        <w:spacing w:line="360" w:lineRule="auto"/>
        <w:ind w:firstLine="48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3）实行研究生培养中期考核机制。一般在第2学期初对研究生思想品德、业务能力、课程学习、学位论文选题等方面进行全面考核，查找研究生学习过程中存在的问题并着力进行改进。中期考核不合格者，视情况延长其学习年限或劝其退学。</w:t>
      </w:r>
    </w:p>
    <w:p w14:paraId="018D65E7" w14:textId="77777777" w:rsidR="00CB0E91" w:rsidRDefault="00AC5FF7">
      <w:pPr>
        <w:widowControl/>
        <w:spacing w:line="360" w:lineRule="auto"/>
        <w:ind w:firstLine="48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4）实行校内外“双导师”负责制培养模式。成立导师组，导师组由校内导师、实践导师代表共同组成。在旅游行业部门选聘一批具有高级职称、丰富实践经验的专家型教师担任实践导师。通过师生互选为每位研究生配备校内导师和实践导师各1名。以校内导师指导为主，实践导师主要负责实践环节的指导，同时可参与专题讲座、项目研究、论文写作等多个环节的指导工作，实现校内、外导师联合培养。</w:t>
      </w:r>
    </w:p>
    <w:p w14:paraId="288AEE04" w14:textId="77777777" w:rsidR="00CB0E91" w:rsidRDefault="00AC5FF7">
      <w:pPr>
        <w:widowControl/>
        <w:spacing w:line="360" w:lineRule="auto"/>
        <w:ind w:firstLine="48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（5）实行导师个别指导和导师组集体培养相结合的培养模式。研究生指导教师对研究生成长负全面责任。同时，学校成立导师组，导师</w:t>
      </w:r>
      <w:proofErr w:type="gramStart"/>
      <w:r>
        <w:rPr>
          <w:rStyle w:val="NormalCharacter"/>
          <w:rFonts w:ascii="宋体" w:eastAsia="宋体" w:hAnsi="宋体" w:cs="宋体" w:hint="eastAsia"/>
          <w:bCs/>
          <w:sz w:val="28"/>
          <w:szCs w:val="28"/>
        </w:rPr>
        <w:t>组一般</w:t>
      </w:r>
      <w:proofErr w:type="gramEnd"/>
      <w:r>
        <w:rPr>
          <w:rStyle w:val="NormalCharacter"/>
          <w:rFonts w:ascii="宋体" w:eastAsia="宋体" w:hAnsi="宋体" w:cs="宋体" w:hint="eastAsia"/>
          <w:bCs/>
          <w:sz w:val="28"/>
          <w:szCs w:val="28"/>
        </w:rPr>
        <w:t>由5-7名本专业领域校内资深导师、实践导师代表共同组成。导师组主要负责课程教学、教育实践、学位论文等研究生培养全过程的组织、指导和监控工作。</w:t>
      </w:r>
    </w:p>
    <w:p w14:paraId="74D9D18A" w14:textId="77777777" w:rsidR="00CB0E91" w:rsidRDefault="00AC5FF7">
      <w:pPr>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hint="eastAsia"/>
          <w:bCs/>
          <w:sz w:val="28"/>
          <w:szCs w:val="28"/>
        </w:rPr>
        <w:t>（6）地方特色鲜明的培养目标定位：一是贯彻执行</w:t>
      </w:r>
      <w:proofErr w:type="gramStart"/>
      <w:r>
        <w:rPr>
          <w:rStyle w:val="NormalCharacter"/>
          <w:rFonts w:ascii="宋体" w:eastAsia="宋体" w:hAnsi="宋体" w:hint="eastAsia"/>
          <w:bCs/>
          <w:sz w:val="28"/>
          <w:szCs w:val="28"/>
        </w:rPr>
        <w:t>了教指委</w:t>
      </w:r>
      <w:proofErr w:type="gramEnd"/>
      <w:r>
        <w:rPr>
          <w:rStyle w:val="NormalCharacter"/>
          <w:rFonts w:ascii="宋体" w:eastAsia="宋体" w:hAnsi="宋体" w:hint="eastAsia"/>
          <w:bCs/>
          <w:sz w:val="28"/>
          <w:szCs w:val="28"/>
        </w:rPr>
        <w:t>《MTA指导性培养方案》的精神要求；二是培养目标结合了江西科技师范大学职教特色，满足江西省“旅游强省战略”和“乡村振兴战略”的旅</w:t>
      </w:r>
      <w:r>
        <w:rPr>
          <w:rStyle w:val="NormalCharacter"/>
          <w:rFonts w:ascii="宋体" w:eastAsia="宋体" w:hAnsi="宋体" w:hint="eastAsia"/>
          <w:bCs/>
          <w:sz w:val="28"/>
          <w:szCs w:val="28"/>
        </w:rPr>
        <w:lastRenderedPageBreak/>
        <w:t>游人才要求。设置职教与产业融合特色的专业方向：一是旅游教育方向，侧重于培养从事旅游职业教育的教师类人才；二是旅游资源管理、开发与乡村休闲发展规划、设计方向，侧重于培养旅游资源保护、开发与可持续发展战略管理及从事乡村休闲旅游的规划设计专门人才；三是旅游文化产业和企业管理方向，侧重于培养旅游文化产业管理及旅游景区运营管理人才。</w:t>
      </w:r>
    </w:p>
    <w:p w14:paraId="6348886A" w14:textId="77777777" w:rsidR="00CB0E91" w:rsidRDefault="00AC5FF7">
      <w:pPr>
        <w:pStyle w:val="a7"/>
        <w:spacing w:line="360" w:lineRule="auto"/>
        <w:ind w:firstLineChars="200" w:firstLine="560"/>
        <w:rPr>
          <w:rStyle w:val="NormalCharacter"/>
          <w:rFonts w:ascii="宋体" w:eastAsia="宋体" w:hAnsi="宋体" w:cs="宋体"/>
          <w:bCs/>
          <w:sz w:val="28"/>
          <w:szCs w:val="28"/>
        </w:rPr>
      </w:pPr>
      <w:r>
        <w:rPr>
          <w:rStyle w:val="NormalCharacter"/>
          <w:rFonts w:ascii="宋体" w:eastAsia="宋体" w:hAnsi="宋体" w:cs="宋体" w:hint="eastAsia"/>
          <w:bCs/>
          <w:sz w:val="28"/>
          <w:szCs w:val="28"/>
        </w:rPr>
        <w:t>3.特色与优势：</w:t>
      </w:r>
    </w:p>
    <w:p w14:paraId="70A634AE" w14:textId="77777777" w:rsidR="00CB0E91" w:rsidRDefault="00AC5FF7">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（1）生源专业背景广泛、行业类型多样，生源第一学历专业有财经类、管理类和教育类，生源从事的行业有教育、公务员、旅游企业等。</w:t>
      </w:r>
    </w:p>
    <w:p w14:paraId="333FDFD0" w14:textId="77777777" w:rsidR="00CB0E91" w:rsidRDefault="00AC5FF7">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（2）实行“产学研用”联合办学，与江西</w:t>
      </w:r>
      <w:proofErr w:type="gramStart"/>
      <w:r>
        <w:rPr>
          <w:rStyle w:val="NormalCharacter"/>
          <w:rFonts w:ascii="宋体" w:eastAsia="宋体" w:hAnsi="宋体" w:hint="eastAsia"/>
          <w:bCs/>
          <w:sz w:val="28"/>
          <w:szCs w:val="28"/>
        </w:rPr>
        <w:t>润赣旅游智</w:t>
      </w:r>
      <w:proofErr w:type="gramEnd"/>
      <w:r>
        <w:rPr>
          <w:rStyle w:val="NormalCharacter"/>
          <w:rFonts w:ascii="宋体" w:eastAsia="宋体" w:hAnsi="宋体" w:hint="eastAsia"/>
          <w:bCs/>
          <w:sz w:val="28"/>
          <w:szCs w:val="28"/>
        </w:rPr>
        <w:t>业机构等企业联合成立江西乡村旅游发展研究中心、江西地方文化研究中心等产学研用创新平台，与江西省文化和旅游厅签订了开展旅游管理人才培养和旅游从业人员培训战略合作协议，与江西亚细亚国际旅行社、瑞金共和国摇篮5A景区等合作建立专业实训基地。</w:t>
      </w:r>
    </w:p>
    <w:p w14:paraId="3479F7EB" w14:textId="77777777" w:rsidR="00CB0E91" w:rsidRDefault="00AC5FF7">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3）重视案例教学和实践教学，推行案例式教学和现场体验式教学等创新教学方法。积极利用全国MTA教学优秀案例库或自行开发案例进行案例教学，重要的专业课程全部安排到实践基地现场教学，请业界精英现场授课、举办讲座，开展实地考察，实现理论与实践紧密结合，培养学生的实践技能。</w:t>
      </w:r>
    </w:p>
    <w:p w14:paraId="4628C58B" w14:textId="77777777" w:rsidR="00CB0E91" w:rsidRDefault="00AC5FF7">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lastRenderedPageBreak/>
        <w:t>（4）注重学生理论学术素质提升，积极鼓励学生参与导师科研项目，拓展学生的创新思维；开展学术交流研讨活动，提高学生的理论学术素养。</w:t>
      </w:r>
    </w:p>
    <w:p w14:paraId="252F30CD" w14:textId="77777777" w:rsidR="00CB0E91" w:rsidRDefault="00AC5FF7">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5）严格控制毕业论文和毕业调查报告的质量，由战略合作单位提出本地区或本单位急需解决的现实问题，学生围绕这些实际问题进行选题并开展研究，撰写研究论文和调研报告，学生参与的多篇调研报告获得江西省主要领导批示。</w:t>
      </w:r>
    </w:p>
    <w:p w14:paraId="1E6FF101" w14:textId="77777777" w:rsidR="00CB0E91" w:rsidRDefault="00AC5FF7">
      <w:pPr>
        <w:widowControl/>
        <w:spacing w:line="360" w:lineRule="auto"/>
        <w:ind w:firstLine="480"/>
        <w:rPr>
          <w:rStyle w:val="NormalCharacter"/>
          <w:rFonts w:ascii="宋体" w:eastAsia="宋体" w:hAnsi="宋体"/>
          <w:bCs/>
          <w:sz w:val="28"/>
          <w:szCs w:val="28"/>
        </w:rPr>
      </w:pPr>
      <w:r>
        <w:rPr>
          <w:rStyle w:val="NormalCharacter"/>
          <w:rFonts w:ascii="宋体" w:eastAsia="宋体" w:hAnsi="宋体" w:hint="eastAsia"/>
          <w:bCs/>
          <w:sz w:val="28"/>
          <w:szCs w:val="28"/>
        </w:rPr>
        <w:t>4.课程设置与学分</w:t>
      </w:r>
    </w:p>
    <w:p w14:paraId="477D869C" w14:textId="77777777" w:rsidR="00CB0E91" w:rsidRDefault="00AC5FF7">
      <w:pPr>
        <w:widowControl/>
        <w:spacing w:line="360" w:lineRule="auto"/>
        <w:ind w:firstLine="480"/>
        <w:rPr>
          <w:rStyle w:val="NormalCharacter"/>
          <w:rFonts w:ascii="宋体" w:eastAsia="宋体" w:hAnsi="宋体"/>
          <w:bCs/>
          <w:sz w:val="28"/>
          <w:szCs w:val="28"/>
        </w:rPr>
      </w:pPr>
      <w:r>
        <w:rPr>
          <w:rStyle w:val="NormalCharacter"/>
          <w:rFonts w:ascii="宋体" w:eastAsia="宋体" w:hAnsi="宋体" w:hint="eastAsia"/>
          <w:bCs/>
          <w:sz w:val="28"/>
          <w:szCs w:val="28"/>
        </w:rPr>
        <w:t>课程设置和教学进度按专业规定的学习年限安排，全日制课程学习最长不超过两学期，学位论文工作时间一般不少于1年。总学分不少于34学分（16学时/学分）。</w:t>
      </w:r>
    </w:p>
    <w:p w14:paraId="35A1E0F2" w14:textId="77777777" w:rsidR="00CB0E91" w:rsidRDefault="00AC5FF7">
      <w:pPr>
        <w:spacing w:line="360" w:lineRule="auto"/>
        <w:ind w:firstLineChars="200" w:firstLine="560"/>
        <w:rPr>
          <w:rStyle w:val="NormalCharacter"/>
          <w:rFonts w:ascii="宋体" w:eastAsia="宋体" w:hAnsi="宋体"/>
          <w:bCs/>
          <w:sz w:val="28"/>
          <w:szCs w:val="28"/>
        </w:rPr>
      </w:pPr>
      <w:proofErr w:type="gramStart"/>
      <w:r>
        <w:rPr>
          <w:rStyle w:val="NormalCharacter"/>
          <w:rFonts w:ascii="宋体" w:eastAsia="宋体" w:hAnsi="宋体" w:hint="eastAsia"/>
          <w:bCs/>
          <w:sz w:val="28"/>
          <w:szCs w:val="28"/>
        </w:rPr>
        <w:t>根据教指委</w:t>
      </w:r>
      <w:proofErr w:type="gramEnd"/>
      <w:r>
        <w:rPr>
          <w:rStyle w:val="NormalCharacter"/>
          <w:rFonts w:ascii="宋体" w:eastAsia="宋体" w:hAnsi="宋体" w:hint="eastAsia"/>
          <w:bCs/>
          <w:sz w:val="28"/>
          <w:szCs w:val="28"/>
        </w:rPr>
        <w:t>MTA指导性培养方案的要求，结合学校实际，开设了服务管理、旅游信息系统、旅游产业经济分析、旅游投资与财务管理、旅游规划与战略、旅游目的地开发与管理、旅游营销与品牌建设、旅游生态学原理、旅游调查与研究法、旅游与文化产业研究、旅游地学与资源科学专题研究、旅行社与酒店经营管理专题研究、现代旅游教育专题研究等特色课程。</w:t>
      </w:r>
    </w:p>
    <w:p w14:paraId="1E3F6853"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（二）教师队伍建设</w:t>
      </w:r>
    </w:p>
    <w:p w14:paraId="01920BC7" w14:textId="77777777" w:rsidR="00CB0E91" w:rsidRDefault="00AC5FF7">
      <w:pPr>
        <w:spacing w:line="360" w:lineRule="auto"/>
        <w:ind w:firstLineChars="200" w:firstLine="560"/>
        <w:rPr>
          <w:rStyle w:val="NormalCharacter"/>
          <w:rFonts w:ascii="宋体" w:eastAsia="宋体" w:hAnsi="宋体"/>
          <w:bCs/>
          <w:sz w:val="28"/>
          <w:szCs w:val="28"/>
        </w:rPr>
      </w:pPr>
      <w:r>
        <w:rPr>
          <w:rFonts w:ascii="宋体" w:eastAsia="宋体" w:hAnsi="宋体" w:hint="eastAsia"/>
          <w:bCs/>
          <w:sz w:val="28"/>
          <w:szCs w:val="28"/>
        </w:rPr>
        <w:t>本学位点不断</w:t>
      </w:r>
      <w:r>
        <w:rPr>
          <w:rFonts w:ascii="宋体" w:eastAsia="宋体" w:hAnsi="宋体"/>
          <w:bCs/>
          <w:sz w:val="28"/>
          <w:szCs w:val="28"/>
        </w:rPr>
        <w:t>强化导师队伍的培养培训，</w:t>
      </w:r>
      <w:r>
        <w:rPr>
          <w:rFonts w:ascii="宋体" w:eastAsia="宋体" w:hAnsi="宋体" w:hint="eastAsia"/>
          <w:bCs/>
          <w:sz w:val="28"/>
          <w:szCs w:val="28"/>
        </w:rPr>
        <w:t>努力</w:t>
      </w:r>
      <w:r>
        <w:rPr>
          <w:rFonts w:ascii="宋体" w:eastAsia="宋体" w:hAnsi="宋体"/>
          <w:bCs/>
          <w:sz w:val="28"/>
          <w:szCs w:val="28"/>
        </w:rPr>
        <w:t>打造“双师型”导师队伍。选派专业教师“走出去”到企业挂职锻炼，“请进来”一批</w:t>
      </w:r>
      <w:r>
        <w:rPr>
          <w:rFonts w:ascii="宋体" w:eastAsia="宋体" w:hAnsi="宋体"/>
          <w:bCs/>
          <w:sz w:val="28"/>
          <w:szCs w:val="28"/>
        </w:rPr>
        <w:lastRenderedPageBreak/>
        <w:t>旅游行业一线高层次人才充实教学团队，培养“双师”素质教学团队。组建有专业特色的教学团队，推动教学质量的提高。组建大数据智慧和规划博士团队</w:t>
      </w:r>
      <w:r>
        <w:rPr>
          <w:rFonts w:ascii="宋体" w:eastAsia="宋体" w:hAnsi="宋体" w:hint="eastAsia"/>
          <w:bCs/>
          <w:sz w:val="28"/>
          <w:szCs w:val="28"/>
        </w:rPr>
        <w:t>，</w:t>
      </w:r>
      <w:r>
        <w:rPr>
          <w:rFonts w:ascii="宋体" w:eastAsia="宋体" w:hAnsi="宋体"/>
          <w:bCs/>
          <w:sz w:val="28"/>
          <w:szCs w:val="28"/>
        </w:rPr>
        <w:t>把旅游行业优势资源、最新技术成果引入教学领域，实现校企共育高技能人才，有效促进教学内容、方法和手段改革，推动教学质量提高，增强教学团队服务地方经济的能力</w:t>
      </w:r>
      <w:r>
        <w:rPr>
          <w:rFonts w:ascii="宋体" w:eastAsia="宋体" w:hAnsi="宋体" w:hint="eastAsia"/>
          <w:bCs/>
          <w:sz w:val="28"/>
          <w:szCs w:val="28"/>
        </w:rPr>
        <w:t>。</w:t>
      </w:r>
    </w:p>
    <w:p w14:paraId="5ADA79AE" w14:textId="77777777" w:rsidR="00CB0E91" w:rsidRDefault="00AC5FF7">
      <w:pPr>
        <w:spacing w:line="360" w:lineRule="auto"/>
        <w:ind w:firstLineChars="200" w:firstLine="560"/>
        <w:rPr>
          <w:rStyle w:val="NormalCharacter"/>
          <w:rFonts w:asciiTheme="minorHAnsi" w:eastAsiaTheme="minorEastAsia" w:hAnsiTheme="minorHAnsi" w:cstheme="minorBidi"/>
          <w:b/>
          <w:bCs/>
          <w:sz w:val="28"/>
          <w:szCs w:val="36"/>
        </w:rPr>
      </w:pPr>
      <w:r>
        <w:rPr>
          <w:rStyle w:val="NormalCharacter"/>
          <w:rFonts w:ascii="宋体" w:eastAsia="宋体" w:hAnsi="宋体" w:hint="eastAsia"/>
          <w:bCs/>
          <w:sz w:val="28"/>
          <w:szCs w:val="28"/>
        </w:rPr>
        <w:t>本学位点有正高级导师</w:t>
      </w:r>
      <w:r>
        <w:rPr>
          <w:rStyle w:val="NormalCharacter"/>
          <w:rFonts w:ascii="宋体" w:eastAsia="宋体" w:hAnsi="宋体"/>
          <w:bCs/>
          <w:sz w:val="28"/>
          <w:szCs w:val="28"/>
        </w:rPr>
        <w:t>12</w:t>
      </w:r>
      <w:r>
        <w:rPr>
          <w:rStyle w:val="NormalCharacter"/>
          <w:rFonts w:ascii="宋体" w:eastAsia="宋体" w:hAnsi="宋体" w:hint="eastAsia"/>
          <w:bCs/>
          <w:sz w:val="28"/>
          <w:szCs w:val="28"/>
        </w:rPr>
        <w:t>人，副高级导师1</w:t>
      </w:r>
      <w:r>
        <w:rPr>
          <w:rStyle w:val="NormalCharacter"/>
          <w:rFonts w:ascii="宋体" w:eastAsia="宋体" w:hAnsi="宋体"/>
          <w:bCs/>
          <w:sz w:val="28"/>
          <w:szCs w:val="28"/>
        </w:rPr>
        <w:t>7</w:t>
      </w:r>
      <w:r>
        <w:rPr>
          <w:rStyle w:val="NormalCharacter"/>
          <w:rFonts w:ascii="宋体" w:eastAsia="宋体" w:hAnsi="宋体" w:hint="eastAsia"/>
          <w:bCs/>
          <w:sz w:val="28"/>
          <w:szCs w:val="28"/>
        </w:rPr>
        <w:t>人，中级导师2人，校外兼职</w:t>
      </w:r>
      <w:proofErr w:type="gramStart"/>
      <w:r>
        <w:rPr>
          <w:rStyle w:val="NormalCharacter"/>
          <w:rFonts w:ascii="宋体" w:eastAsia="宋体" w:hAnsi="宋体" w:hint="eastAsia"/>
          <w:bCs/>
          <w:sz w:val="28"/>
          <w:szCs w:val="28"/>
        </w:rPr>
        <w:t>硕导人数</w:t>
      </w:r>
      <w:proofErr w:type="gramEnd"/>
      <w:r>
        <w:rPr>
          <w:rStyle w:val="NormalCharacter"/>
          <w:rFonts w:ascii="宋体" w:eastAsia="宋体" w:hAnsi="宋体" w:hint="eastAsia"/>
          <w:bCs/>
          <w:sz w:val="28"/>
          <w:szCs w:val="28"/>
        </w:rPr>
        <w:t>9人。</w:t>
      </w:r>
      <w:r>
        <w:rPr>
          <w:rStyle w:val="NormalCharacter"/>
          <w:rFonts w:ascii="宋体" w:eastAsia="宋体" w:hAnsi="宋体"/>
          <w:bCs/>
          <w:sz w:val="28"/>
          <w:szCs w:val="28"/>
        </w:rPr>
        <w:t>专任教师数量及结构</w:t>
      </w:r>
      <w:r>
        <w:rPr>
          <w:rStyle w:val="NormalCharacter"/>
          <w:rFonts w:ascii="宋体" w:eastAsia="宋体" w:hAnsi="宋体" w:hint="eastAsia"/>
          <w:bCs/>
          <w:sz w:val="28"/>
          <w:szCs w:val="28"/>
        </w:rPr>
        <w:t>如下表所示：</w:t>
      </w:r>
    </w:p>
    <w:tbl>
      <w:tblPr>
        <w:tblpPr w:leftFromText="180" w:rightFromText="180" w:vertAnchor="text" w:tblpY="1"/>
        <w:tblOverlap w:val="never"/>
        <w:tblW w:w="8326" w:type="dxa"/>
        <w:tblLayout w:type="fixed"/>
        <w:tblCellMar>
          <w:left w:w="0" w:type="dxa"/>
          <w:right w:w="0" w:type="dxa"/>
        </w:tblCellMar>
        <w:tblLook w:val="04A0" w:firstRow="1" w:lastRow="0" w:firstColumn="1" w:lastColumn="0" w:noHBand="0" w:noVBand="1"/>
      </w:tblPr>
      <w:tblGrid>
        <w:gridCol w:w="942"/>
        <w:gridCol w:w="524"/>
        <w:gridCol w:w="664"/>
        <w:gridCol w:w="541"/>
        <w:gridCol w:w="531"/>
        <w:gridCol w:w="539"/>
        <w:gridCol w:w="655"/>
        <w:gridCol w:w="773"/>
        <w:gridCol w:w="773"/>
        <w:gridCol w:w="796"/>
        <w:gridCol w:w="797"/>
        <w:gridCol w:w="791"/>
      </w:tblGrid>
      <w:tr w:rsidR="00CB0E91" w14:paraId="6EAD79DF" w14:textId="77777777">
        <w:trPr>
          <w:trHeight w:val="100"/>
        </w:trPr>
        <w:tc>
          <w:tcPr>
            <w:tcW w:w="942" w:type="dxa"/>
            <w:vMerge w:val="restart"/>
            <w:tcBorders>
              <w:top w:val="single" w:sz="4" w:space="0" w:color="000000"/>
              <w:left w:val="single" w:sz="4" w:space="0" w:color="000000"/>
              <w:right w:val="single" w:sz="4" w:space="0" w:color="000000"/>
            </w:tcBorders>
            <w:tcMar>
              <w:top w:w="10" w:type="dxa"/>
              <w:left w:w="10" w:type="dxa"/>
              <w:bottom w:w="0" w:type="dxa"/>
              <w:right w:w="10" w:type="dxa"/>
            </w:tcMar>
            <w:vAlign w:val="center"/>
          </w:tcPr>
          <w:p w14:paraId="0A7ADE62" w14:textId="77777777" w:rsidR="00CB0E91" w:rsidRDefault="00AC5FF7">
            <w:pPr>
              <w:spacing w:line="360" w:lineRule="auto"/>
              <w:jc w:val="center"/>
              <w:textAlignment w:val="center"/>
              <w:rPr>
                <w:rFonts w:asciiTheme="minorEastAsia" w:eastAsiaTheme="minorEastAsia" w:hAnsiTheme="minorEastAsia"/>
                <w:color w:val="000000"/>
                <w:sz w:val="21"/>
                <w:szCs w:val="21"/>
              </w:rPr>
            </w:pPr>
            <w:bookmarkStart w:id="1" w:name="_Hlk89937042"/>
            <w:r>
              <w:rPr>
                <w:rFonts w:asciiTheme="minorEastAsia" w:eastAsiaTheme="minorEastAsia" w:hAnsiTheme="minorEastAsia"/>
                <w:color w:val="000000"/>
                <w:sz w:val="21"/>
                <w:szCs w:val="21"/>
              </w:rPr>
              <w:t>专业技术职务</w:t>
            </w:r>
          </w:p>
        </w:tc>
        <w:tc>
          <w:tcPr>
            <w:tcW w:w="524"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26B21033"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人数合计</w:t>
            </w:r>
          </w:p>
        </w:tc>
        <w:tc>
          <w:tcPr>
            <w:tcW w:w="2930" w:type="dxa"/>
            <w:gridSpan w:val="5"/>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82429A7"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年龄分布</w:t>
            </w:r>
          </w:p>
        </w:tc>
        <w:tc>
          <w:tcPr>
            <w:tcW w:w="1546" w:type="dxa"/>
            <w:gridSpan w:val="2"/>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E5EBD31"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学历结构</w:t>
            </w:r>
          </w:p>
        </w:tc>
        <w:tc>
          <w:tcPr>
            <w:tcW w:w="796"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538CCC41"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硕士导师人数</w:t>
            </w:r>
          </w:p>
        </w:tc>
        <w:tc>
          <w:tcPr>
            <w:tcW w:w="797"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5B84B014"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最高学位非本单位授予的人数</w:t>
            </w:r>
          </w:p>
        </w:tc>
        <w:tc>
          <w:tcPr>
            <w:tcW w:w="791" w:type="dxa"/>
            <w:vMerge w:val="restart"/>
            <w:tcBorders>
              <w:top w:val="single" w:sz="4" w:space="0" w:color="000000"/>
              <w:left w:val="nil"/>
              <w:right w:val="single" w:sz="4" w:space="0" w:color="000000"/>
            </w:tcBorders>
            <w:tcMar>
              <w:top w:w="10" w:type="dxa"/>
              <w:left w:w="10" w:type="dxa"/>
              <w:bottom w:w="0" w:type="dxa"/>
              <w:right w:w="10" w:type="dxa"/>
            </w:tcMar>
            <w:vAlign w:val="center"/>
          </w:tcPr>
          <w:p w14:paraId="0C63E0A3"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兼职</w:t>
            </w:r>
            <w:proofErr w:type="gramStart"/>
            <w:r>
              <w:rPr>
                <w:rFonts w:asciiTheme="minorEastAsia" w:eastAsiaTheme="minorEastAsia" w:hAnsiTheme="minorEastAsia" w:hint="eastAsia"/>
                <w:color w:val="000000"/>
                <w:sz w:val="21"/>
                <w:szCs w:val="21"/>
              </w:rPr>
              <w:t>硕导人数</w:t>
            </w:r>
            <w:proofErr w:type="gramEnd"/>
          </w:p>
        </w:tc>
      </w:tr>
      <w:tr w:rsidR="00CB0E91" w14:paraId="2F37E994" w14:textId="77777777">
        <w:trPr>
          <w:trHeight w:val="600"/>
        </w:trPr>
        <w:tc>
          <w:tcPr>
            <w:tcW w:w="942" w:type="dxa"/>
            <w:vMerge/>
            <w:tcBorders>
              <w:left w:val="single" w:sz="4" w:space="0" w:color="000000"/>
              <w:bottom w:val="single" w:sz="4" w:space="0" w:color="000000"/>
              <w:right w:val="single" w:sz="4" w:space="0" w:color="000000"/>
            </w:tcBorders>
            <w:tcMar>
              <w:top w:w="10" w:type="dxa"/>
              <w:left w:w="10" w:type="dxa"/>
              <w:bottom w:w="0" w:type="dxa"/>
              <w:right w:w="10" w:type="dxa"/>
            </w:tcMar>
            <w:vAlign w:val="center"/>
          </w:tcPr>
          <w:p w14:paraId="102943BF" w14:textId="77777777" w:rsidR="00CB0E91" w:rsidRDefault="00CB0E91">
            <w:pPr>
              <w:spacing w:line="360" w:lineRule="auto"/>
              <w:jc w:val="center"/>
              <w:textAlignment w:val="center"/>
              <w:rPr>
                <w:rFonts w:asciiTheme="minorEastAsia" w:eastAsiaTheme="minorEastAsia" w:hAnsiTheme="minorEastAsia"/>
                <w:color w:val="000000"/>
                <w:sz w:val="21"/>
                <w:szCs w:val="21"/>
              </w:rPr>
            </w:pPr>
          </w:p>
        </w:tc>
        <w:tc>
          <w:tcPr>
            <w:tcW w:w="524" w:type="dxa"/>
            <w:vMerge/>
            <w:tcBorders>
              <w:left w:val="nil"/>
              <w:bottom w:val="single" w:sz="4" w:space="0" w:color="000000"/>
              <w:right w:val="single" w:sz="4" w:space="0" w:color="000000"/>
            </w:tcBorders>
            <w:tcMar>
              <w:top w:w="10" w:type="dxa"/>
              <w:left w:w="10" w:type="dxa"/>
              <w:bottom w:w="0" w:type="dxa"/>
              <w:right w:w="10" w:type="dxa"/>
            </w:tcMar>
            <w:vAlign w:val="center"/>
          </w:tcPr>
          <w:p w14:paraId="1A18A0E0" w14:textId="77777777" w:rsidR="00CB0E91" w:rsidRDefault="00CB0E91">
            <w:pPr>
              <w:spacing w:line="360" w:lineRule="auto"/>
              <w:jc w:val="center"/>
              <w:textAlignment w:val="center"/>
              <w:rPr>
                <w:rFonts w:asciiTheme="minorEastAsia" w:eastAsiaTheme="minorEastAsia" w:hAnsiTheme="minorEastAsia"/>
                <w:color w:val="000000"/>
                <w:sz w:val="21"/>
                <w:szCs w:val="21"/>
              </w:rPr>
            </w:pP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DE0647A"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25岁及以下</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47B7183"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r>
              <w:rPr>
                <w:rFonts w:asciiTheme="minorEastAsia" w:eastAsiaTheme="minorEastAsia" w:hAnsiTheme="minorEastAsia" w:hint="eastAsia"/>
                <w:color w:val="000000"/>
                <w:sz w:val="21"/>
                <w:szCs w:val="21"/>
              </w:rPr>
              <w:t>6</w:t>
            </w:r>
            <w:r>
              <w:rPr>
                <w:rFonts w:asciiTheme="minorEastAsia" w:eastAsiaTheme="minorEastAsia" w:hAnsiTheme="minorEastAsia"/>
                <w:color w:val="000000"/>
                <w:sz w:val="21"/>
                <w:szCs w:val="21"/>
              </w:rPr>
              <w:t>至35岁</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EBE9C95"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36至45岁</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189F2D9"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46至</w:t>
            </w:r>
            <w:r>
              <w:rPr>
                <w:rFonts w:asciiTheme="minorEastAsia" w:eastAsiaTheme="minorEastAsia" w:hAnsiTheme="minorEastAsia" w:hint="eastAsia"/>
                <w:color w:val="000000"/>
                <w:sz w:val="21"/>
                <w:szCs w:val="21"/>
              </w:rPr>
              <w:t>59</w:t>
            </w:r>
            <w:r>
              <w:rPr>
                <w:rFonts w:asciiTheme="minorEastAsia" w:eastAsiaTheme="minorEastAsia" w:hAnsiTheme="minorEastAsia"/>
                <w:color w:val="000000"/>
                <w:sz w:val="21"/>
                <w:szCs w:val="21"/>
              </w:rPr>
              <w:t>岁</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43625E8"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60岁及以上</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C58FC29"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博士学位教师</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CCEAAA8"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硕士学位教师</w:t>
            </w:r>
          </w:p>
        </w:tc>
        <w:tc>
          <w:tcPr>
            <w:tcW w:w="796" w:type="dxa"/>
            <w:vMerge/>
            <w:tcBorders>
              <w:left w:val="nil"/>
              <w:bottom w:val="single" w:sz="4" w:space="0" w:color="000000"/>
              <w:right w:val="single" w:sz="4" w:space="0" w:color="000000"/>
            </w:tcBorders>
            <w:tcMar>
              <w:top w:w="10" w:type="dxa"/>
              <w:left w:w="10" w:type="dxa"/>
              <w:bottom w:w="0" w:type="dxa"/>
              <w:right w:w="10" w:type="dxa"/>
            </w:tcMar>
            <w:vAlign w:val="center"/>
          </w:tcPr>
          <w:p w14:paraId="0F75A8F4" w14:textId="77777777" w:rsidR="00CB0E91" w:rsidRDefault="00CB0E91">
            <w:pPr>
              <w:spacing w:line="360" w:lineRule="auto"/>
              <w:jc w:val="center"/>
              <w:textAlignment w:val="center"/>
              <w:rPr>
                <w:rFonts w:asciiTheme="minorEastAsia" w:eastAsiaTheme="minorEastAsia" w:hAnsiTheme="minorEastAsia"/>
                <w:color w:val="000000"/>
                <w:sz w:val="21"/>
                <w:szCs w:val="21"/>
              </w:rPr>
            </w:pPr>
          </w:p>
        </w:tc>
        <w:tc>
          <w:tcPr>
            <w:tcW w:w="797" w:type="dxa"/>
            <w:vMerge/>
            <w:tcBorders>
              <w:left w:val="nil"/>
              <w:bottom w:val="single" w:sz="4" w:space="0" w:color="000000"/>
              <w:right w:val="single" w:sz="4" w:space="0" w:color="000000"/>
            </w:tcBorders>
            <w:tcMar>
              <w:top w:w="10" w:type="dxa"/>
              <w:left w:w="10" w:type="dxa"/>
              <w:bottom w:w="0" w:type="dxa"/>
              <w:right w:w="10" w:type="dxa"/>
            </w:tcMar>
            <w:vAlign w:val="center"/>
          </w:tcPr>
          <w:p w14:paraId="2FDF5BC7" w14:textId="77777777" w:rsidR="00CB0E91" w:rsidRDefault="00CB0E91">
            <w:pPr>
              <w:spacing w:line="360" w:lineRule="auto"/>
              <w:jc w:val="center"/>
              <w:textAlignment w:val="center"/>
              <w:rPr>
                <w:rFonts w:asciiTheme="minorEastAsia" w:eastAsiaTheme="minorEastAsia" w:hAnsiTheme="minorEastAsia"/>
                <w:color w:val="000000"/>
                <w:sz w:val="21"/>
                <w:szCs w:val="21"/>
              </w:rPr>
            </w:pPr>
          </w:p>
        </w:tc>
        <w:tc>
          <w:tcPr>
            <w:tcW w:w="791" w:type="dxa"/>
            <w:vMerge/>
            <w:tcBorders>
              <w:left w:val="nil"/>
              <w:bottom w:val="single" w:sz="4" w:space="0" w:color="000000"/>
              <w:right w:val="single" w:sz="4" w:space="0" w:color="000000"/>
            </w:tcBorders>
            <w:tcMar>
              <w:top w:w="10" w:type="dxa"/>
              <w:left w:w="10" w:type="dxa"/>
              <w:bottom w:w="0" w:type="dxa"/>
              <w:right w:w="10" w:type="dxa"/>
            </w:tcMar>
            <w:vAlign w:val="center"/>
          </w:tcPr>
          <w:p w14:paraId="26D0B18B" w14:textId="77777777" w:rsidR="00CB0E91" w:rsidRDefault="00CB0E91">
            <w:pPr>
              <w:spacing w:line="360" w:lineRule="auto"/>
              <w:jc w:val="center"/>
              <w:textAlignment w:val="center"/>
              <w:rPr>
                <w:rFonts w:asciiTheme="minorEastAsia" w:eastAsiaTheme="minorEastAsia" w:hAnsiTheme="minorEastAsia"/>
                <w:color w:val="000000"/>
                <w:sz w:val="21"/>
                <w:szCs w:val="21"/>
              </w:rPr>
            </w:pPr>
          </w:p>
        </w:tc>
      </w:tr>
      <w:tr w:rsidR="00CB0E91" w14:paraId="726ACDEA" w14:textId="77777777">
        <w:trPr>
          <w:trHeight w:val="239"/>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0F08A291"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正高级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951594F"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0DC143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600B77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48ADAC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DF88F0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3943EA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935A78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A67B0F1"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6FBE66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8C35AAE"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97AADC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p>
        </w:tc>
      </w:tr>
      <w:tr w:rsidR="00CB0E91" w14:paraId="0B24E543" w14:textId="77777777">
        <w:trPr>
          <w:trHeight w:val="301"/>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066A839F"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副高级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F4816BF"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17</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B9D68C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0C8F6B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8AD2683"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5AB689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BD89CD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0057CC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D8FEF1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5D47D00"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3CC70E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514D46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w:t>
            </w:r>
          </w:p>
        </w:tc>
      </w:tr>
      <w:tr w:rsidR="00CB0E91" w14:paraId="0490BE4F" w14:textId="77777777">
        <w:trPr>
          <w:trHeight w:val="9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217BE228"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中级</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89FCF75"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5E6747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50E3B6A"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E0A30F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8055D4D"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0D9508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BF41B8C"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ED19A0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A0F17E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0141BB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E77CA1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r>
      <w:tr w:rsidR="00CB0E91" w14:paraId="204B820E" w14:textId="77777777">
        <w:trPr>
          <w:trHeight w:val="183"/>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3FE18A2E"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其他</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A7EEA5E"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01F1E1F5"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7762442"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A59D0EB"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2B0A926"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E56189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7F9D6AF"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6ADC73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3C0B2C4"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7296F9F8"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25008719"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w:t>
            </w:r>
          </w:p>
        </w:tc>
      </w:tr>
      <w:tr w:rsidR="00CB0E91" w14:paraId="14C85BBD" w14:textId="77777777">
        <w:trPr>
          <w:trHeight w:val="60"/>
        </w:trPr>
        <w:tc>
          <w:tcPr>
            <w:tcW w:w="942"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0BC920DD"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总计</w:t>
            </w:r>
          </w:p>
        </w:tc>
        <w:tc>
          <w:tcPr>
            <w:tcW w:w="52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DFE8697"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33</w:t>
            </w:r>
          </w:p>
        </w:tc>
        <w:tc>
          <w:tcPr>
            <w:tcW w:w="664"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687E338F"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4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4C8CD395"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0</w:t>
            </w:r>
          </w:p>
        </w:tc>
        <w:tc>
          <w:tcPr>
            <w:tcW w:w="53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19DE4C7"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w:t>
            </w:r>
          </w:p>
        </w:tc>
        <w:tc>
          <w:tcPr>
            <w:tcW w:w="539"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15E847B"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24</w:t>
            </w:r>
          </w:p>
        </w:tc>
        <w:tc>
          <w:tcPr>
            <w:tcW w:w="655"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20D2287"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CF23F3B"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c>
          <w:tcPr>
            <w:tcW w:w="773"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4707807" w14:textId="77777777" w:rsidR="00CB0E91" w:rsidRDefault="00AC5FF7">
            <w:pPr>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20</w:t>
            </w:r>
          </w:p>
        </w:tc>
        <w:tc>
          <w:tcPr>
            <w:tcW w:w="796"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39B963DC"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24</w:t>
            </w:r>
          </w:p>
        </w:tc>
        <w:tc>
          <w:tcPr>
            <w:tcW w:w="797"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1838B50F"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w:t>
            </w:r>
          </w:p>
        </w:tc>
        <w:tc>
          <w:tcPr>
            <w:tcW w:w="791" w:type="dxa"/>
            <w:tcBorders>
              <w:top w:val="single" w:sz="4" w:space="0" w:color="000000"/>
              <w:left w:val="nil"/>
              <w:bottom w:val="single" w:sz="4" w:space="0" w:color="000000"/>
              <w:right w:val="single" w:sz="4" w:space="0" w:color="000000"/>
            </w:tcBorders>
            <w:tcMar>
              <w:top w:w="10" w:type="dxa"/>
              <w:left w:w="10" w:type="dxa"/>
              <w:bottom w:w="0" w:type="dxa"/>
              <w:right w:w="10" w:type="dxa"/>
            </w:tcMar>
            <w:vAlign w:val="center"/>
          </w:tcPr>
          <w:p w14:paraId="5286B486" w14:textId="77777777" w:rsidR="00CB0E91" w:rsidRDefault="00AC5FF7">
            <w:pPr>
              <w:spacing w:line="360" w:lineRule="auto"/>
              <w:jc w:val="center"/>
              <w:textAlignment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w:t>
            </w:r>
          </w:p>
        </w:tc>
      </w:tr>
    </w:tbl>
    <w:bookmarkEnd w:id="1"/>
    <w:p w14:paraId="65741A14"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（三）科学研究</w:t>
      </w:r>
    </w:p>
    <w:p w14:paraId="321968DA" w14:textId="77777777" w:rsidR="00CB0E91" w:rsidRDefault="00AC5FF7">
      <w:pPr>
        <w:spacing w:line="360" w:lineRule="auto"/>
        <w:ind w:firstLineChars="200" w:firstLine="560"/>
        <w:rPr>
          <w:rStyle w:val="NormalCharacter"/>
          <w:rFonts w:asciiTheme="minorHAnsi" w:eastAsiaTheme="minorEastAsia" w:hAnsiTheme="minorHAnsi" w:cstheme="minorBidi"/>
          <w:b/>
          <w:bCs/>
          <w:sz w:val="28"/>
          <w:szCs w:val="36"/>
        </w:rPr>
      </w:pPr>
      <w:r>
        <w:rPr>
          <w:rStyle w:val="NormalCharacter"/>
          <w:rFonts w:ascii="宋体" w:eastAsia="宋体" w:hAnsi="宋体" w:hint="eastAsia"/>
          <w:bCs/>
          <w:sz w:val="28"/>
          <w:szCs w:val="28"/>
        </w:rPr>
        <w:t>2</w:t>
      </w:r>
      <w:r>
        <w:rPr>
          <w:rStyle w:val="NormalCharacter"/>
          <w:rFonts w:ascii="宋体" w:eastAsia="宋体" w:hAnsi="宋体"/>
          <w:bCs/>
          <w:sz w:val="28"/>
          <w:szCs w:val="28"/>
        </w:rPr>
        <w:t>021</w:t>
      </w:r>
      <w:r>
        <w:rPr>
          <w:rStyle w:val="NormalCharacter"/>
          <w:rFonts w:ascii="宋体" w:eastAsia="宋体" w:hAnsi="宋体" w:hint="eastAsia"/>
          <w:bCs/>
          <w:sz w:val="28"/>
          <w:szCs w:val="28"/>
        </w:rPr>
        <w:t>年，</w:t>
      </w:r>
      <w:r>
        <w:rPr>
          <w:rStyle w:val="NormalCharacter"/>
          <w:rFonts w:ascii="宋体" w:eastAsia="宋体" w:hAnsi="宋体"/>
          <w:bCs/>
          <w:sz w:val="28"/>
          <w:szCs w:val="28"/>
        </w:rPr>
        <w:t>教师在国内外重要期刊发表的代表性论文</w:t>
      </w:r>
      <w:r>
        <w:rPr>
          <w:rStyle w:val="NormalCharacter"/>
          <w:rFonts w:ascii="宋体" w:eastAsia="宋体" w:hAnsi="宋体" w:hint="eastAsia"/>
          <w:bCs/>
          <w:sz w:val="28"/>
          <w:szCs w:val="28"/>
        </w:rPr>
        <w:t xml:space="preserve">有：焦庚英《县域"三生空间"格局与功能演变特征及可能影响因素分析——以江西婺源县为例》，焦庚英《Spatiotemporal Characteristics and </w:t>
      </w:r>
      <w:r>
        <w:rPr>
          <w:rStyle w:val="NormalCharacter"/>
          <w:rFonts w:ascii="宋体" w:eastAsia="宋体" w:hAnsi="宋体" w:hint="eastAsia"/>
          <w:bCs/>
          <w:sz w:val="28"/>
          <w:szCs w:val="28"/>
        </w:rPr>
        <w:lastRenderedPageBreak/>
        <w:t>Influencing Factors of Tourism Revenue in the Yangtze River Delta Urban Agglomeration Region During 2001–2019》，罗丹《How does the international tourism evolve in the past twenty years?》。具体如下表所示：</w:t>
      </w:r>
    </w:p>
    <w:tbl>
      <w:tblPr>
        <w:tblpPr w:leftFromText="180" w:rightFromText="180" w:vertAnchor="text" w:tblpY="1"/>
        <w:tblOverlap w:val="neve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1700"/>
        <w:gridCol w:w="1029"/>
        <w:gridCol w:w="911"/>
        <w:gridCol w:w="1074"/>
        <w:gridCol w:w="1696"/>
        <w:gridCol w:w="1203"/>
      </w:tblGrid>
      <w:tr w:rsidR="00CB0E91" w:rsidRPr="00B1412D" w14:paraId="7768DD74" w14:textId="77777777">
        <w:trPr>
          <w:trHeight w:val="454"/>
        </w:trPr>
        <w:tc>
          <w:tcPr>
            <w:tcW w:w="654" w:type="dxa"/>
            <w:vAlign w:val="center"/>
          </w:tcPr>
          <w:p w14:paraId="13D84924"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序号</w:t>
            </w:r>
          </w:p>
        </w:tc>
        <w:tc>
          <w:tcPr>
            <w:tcW w:w="1700" w:type="dxa"/>
            <w:vAlign w:val="center"/>
          </w:tcPr>
          <w:p w14:paraId="6B7AAAAA"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论文标题</w:t>
            </w:r>
          </w:p>
        </w:tc>
        <w:tc>
          <w:tcPr>
            <w:tcW w:w="1029" w:type="dxa"/>
            <w:vAlign w:val="center"/>
          </w:tcPr>
          <w:p w14:paraId="5BF22BA0"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作者姓名</w:t>
            </w:r>
          </w:p>
        </w:tc>
        <w:tc>
          <w:tcPr>
            <w:tcW w:w="911" w:type="dxa"/>
            <w:vAlign w:val="center"/>
          </w:tcPr>
          <w:p w14:paraId="74807A4E"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作者类型</w:t>
            </w:r>
          </w:p>
        </w:tc>
        <w:tc>
          <w:tcPr>
            <w:tcW w:w="1074" w:type="dxa"/>
            <w:vAlign w:val="center"/>
          </w:tcPr>
          <w:p w14:paraId="7FE0F2BA"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发表期刊</w:t>
            </w:r>
          </w:p>
        </w:tc>
        <w:tc>
          <w:tcPr>
            <w:tcW w:w="1696" w:type="dxa"/>
            <w:vAlign w:val="center"/>
          </w:tcPr>
          <w:p w14:paraId="73CCB517"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发表年份及卷（期）数</w:t>
            </w:r>
          </w:p>
        </w:tc>
        <w:tc>
          <w:tcPr>
            <w:tcW w:w="1203" w:type="dxa"/>
            <w:vAlign w:val="center"/>
          </w:tcPr>
          <w:p w14:paraId="0F4C2660" w14:textId="77777777" w:rsidR="00CB0E91" w:rsidRPr="00B1412D" w:rsidRDefault="00AC5FF7">
            <w:pPr>
              <w:adjustRightInd w:val="0"/>
              <w:snapToGrid w:val="0"/>
              <w:jc w:val="center"/>
              <w:rPr>
                <w:rFonts w:asciiTheme="minorEastAsia" w:eastAsiaTheme="minorEastAsia" w:hAnsiTheme="minorEastAsia" w:cs="方正仿宋简体"/>
                <w:color w:val="000000"/>
                <w:sz w:val="21"/>
                <w:szCs w:val="21"/>
              </w:rPr>
            </w:pPr>
            <w:r w:rsidRPr="00B1412D">
              <w:rPr>
                <w:rFonts w:asciiTheme="minorEastAsia" w:eastAsiaTheme="minorEastAsia" w:hAnsiTheme="minorEastAsia" w:cs="方正仿宋简体" w:hint="eastAsia"/>
                <w:color w:val="000000"/>
                <w:sz w:val="21"/>
                <w:szCs w:val="21"/>
              </w:rPr>
              <w:t>期刊收录情况</w:t>
            </w:r>
          </w:p>
        </w:tc>
      </w:tr>
      <w:tr w:rsidR="00CB0E91" w:rsidRPr="00B1412D" w14:paraId="05BF52F1" w14:textId="77777777">
        <w:trPr>
          <w:trHeight w:val="454"/>
        </w:trPr>
        <w:tc>
          <w:tcPr>
            <w:tcW w:w="654" w:type="dxa"/>
            <w:vAlign w:val="center"/>
          </w:tcPr>
          <w:p w14:paraId="0D04AE45"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1</w:t>
            </w:r>
          </w:p>
        </w:tc>
        <w:tc>
          <w:tcPr>
            <w:tcW w:w="1700" w:type="dxa"/>
            <w:vAlign w:val="center"/>
          </w:tcPr>
          <w:p w14:paraId="079E3BC0"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县域"三生空间"格局与功能演变特征及可能影响因素分析——以江西婺源县为例</w:t>
            </w:r>
          </w:p>
        </w:tc>
        <w:tc>
          <w:tcPr>
            <w:tcW w:w="1029" w:type="dxa"/>
            <w:vAlign w:val="center"/>
          </w:tcPr>
          <w:p w14:paraId="5C66EE72"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proofErr w:type="gramStart"/>
            <w:r w:rsidRPr="00B1412D">
              <w:rPr>
                <w:rFonts w:asciiTheme="minorEastAsia" w:eastAsiaTheme="minorEastAsia" w:hAnsiTheme="minorEastAsia" w:cs="方正仿宋简体" w:hint="eastAsia"/>
                <w:color w:val="000000"/>
                <w:sz w:val="21"/>
              </w:rPr>
              <w:t>焦庚英</w:t>
            </w:r>
            <w:proofErr w:type="gramEnd"/>
          </w:p>
        </w:tc>
        <w:tc>
          <w:tcPr>
            <w:tcW w:w="911" w:type="dxa"/>
            <w:vAlign w:val="center"/>
          </w:tcPr>
          <w:p w14:paraId="73D66001"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第一作者</w:t>
            </w:r>
          </w:p>
        </w:tc>
        <w:tc>
          <w:tcPr>
            <w:tcW w:w="1074" w:type="dxa"/>
            <w:vAlign w:val="center"/>
          </w:tcPr>
          <w:p w14:paraId="022E0958"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自然资源学报</w:t>
            </w:r>
          </w:p>
        </w:tc>
        <w:tc>
          <w:tcPr>
            <w:tcW w:w="1696" w:type="dxa"/>
            <w:vAlign w:val="center"/>
          </w:tcPr>
          <w:p w14:paraId="3B291590"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2021, 36(5): 1252-1267.</w:t>
            </w:r>
          </w:p>
        </w:tc>
        <w:tc>
          <w:tcPr>
            <w:tcW w:w="1203" w:type="dxa"/>
            <w:vAlign w:val="center"/>
          </w:tcPr>
          <w:p w14:paraId="322D0FAE"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CSSCI</w:t>
            </w:r>
          </w:p>
        </w:tc>
      </w:tr>
      <w:tr w:rsidR="00CB0E91" w:rsidRPr="00B1412D" w14:paraId="54750DFB" w14:textId="77777777">
        <w:trPr>
          <w:trHeight w:val="454"/>
        </w:trPr>
        <w:tc>
          <w:tcPr>
            <w:tcW w:w="654" w:type="dxa"/>
            <w:vAlign w:val="center"/>
          </w:tcPr>
          <w:p w14:paraId="17DD9B08" w14:textId="59FE6D77" w:rsidR="00CB0E91" w:rsidRPr="00B1412D" w:rsidRDefault="00D80BE2">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2</w:t>
            </w:r>
          </w:p>
        </w:tc>
        <w:tc>
          <w:tcPr>
            <w:tcW w:w="1700" w:type="dxa"/>
            <w:vAlign w:val="center"/>
          </w:tcPr>
          <w:p w14:paraId="2B912D37"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Spatiotemporal Characteristics and Influencing Factors of Tourism Revenue in the Yangtze River Delta Urban Agglomeration Region During 2001–2019.</w:t>
            </w:r>
          </w:p>
        </w:tc>
        <w:tc>
          <w:tcPr>
            <w:tcW w:w="1029" w:type="dxa"/>
            <w:vAlign w:val="center"/>
          </w:tcPr>
          <w:p w14:paraId="7B80705E"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proofErr w:type="gramStart"/>
            <w:r w:rsidRPr="00B1412D">
              <w:rPr>
                <w:rFonts w:asciiTheme="minorEastAsia" w:eastAsiaTheme="minorEastAsia" w:hAnsiTheme="minorEastAsia" w:cs="方正仿宋简体" w:hint="eastAsia"/>
                <w:color w:val="000000"/>
                <w:sz w:val="21"/>
              </w:rPr>
              <w:t>焦庚英</w:t>
            </w:r>
            <w:proofErr w:type="gramEnd"/>
          </w:p>
        </w:tc>
        <w:tc>
          <w:tcPr>
            <w:tcW w:w="911" w:type="dxa"/>
            <w:vAlign w:val="center"/>
          </w:tcPr>
          <w:p w14:paraId="0963BABE"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第一作者</w:t>
            </w:r>
          </w:p>
        </w:tc>
        <w:tc>
          <w:tcPr>
            <w:tcW w:w="1074" w:type="dxa"/>
            <w:vAlign w:val="center"/>
          </w:tcPr>
          <w:p w14:paraId="51FFB069"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Sustainability</w:t>
            </w:r>
          </w:p>
        </w:tc>
        <w:tc>
          <w:tcPr>
            <w:tcW w:w="1696" w:type="dxa"/>
            <w:vAlign w:val="center"/>
          </w:tcPr>
          <w:p w14:paraId="591F9E7C"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 xml:space="preserve"> 2021,13, 3658.</w:t>
            </w:r>
          </w:p>
        </w:tc>
        <w:tc>
          <w:tcPr>
            <w:tcW w:w="1203" w:type="dxa"/>
            <w:vAlign w:val="center"/>
          </w:tcPr>
          <w:p w14:paraId="2D0FDBEE"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SCI</w:t>
            </w:r>
          </w:p>
        </w:tc>
      </w:tr>
      <w:tr w:rsidR="00CB0E91" w:rsidRPr="00B1412D" w14:paraId="6FD7C384" w14:textId="77777777">
        <w:trPr>
          <w:trHeight w:val="454"/>
        </w:trPr>
        <w:tc>
          <w:tcPr>
            <w:tcW w:w="654" w:type="dxa"/>
            <w:vAlign w:val="center"/>
          </w:tcPr>
          <w:p w14:paraId="29A62BD4"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 xml:space="preserve"> </w:t>
            </w:r>
            <w:r w:rsidRPr="00B1412D">
              <w:rPr>
                <w:rFonts w:asciiTheme="minorEastAsia" w:eastAsiaTheme="minorEastAsia" w:hAnsiTheme="minorEastAsia" w:cs="方正仿宋简体"/>
                <w:color w:val="000000"/>
                <w:sz w:val="21"/>
              </w:rPr>
              <w:t>3</w:t>
            </w:r>
            <w:r w:rsidRPr="00B1412D">
              <w:rPr>
                <w:rFonts w:asciiTheme="minorEastAsia" w:eastAsiaTheme="minorEastAsia" w:hAnsiTheme="minorEastAsia" w:cs="方正仿宋简体" w:hint="eastAsia"/>
                <w:color w:val="000000"/>
                <w:sz w:val="21"/>
              </w:rPr>
              <w:t xml:space="preserve"> </w:t>
            </w:r>
          </w:p>
        </w:tc>
        <w:tc>
          <w:tcPr>
            <w:tcW w:w="1700" w:type="dxa"/>
            <w:vAlign w:val="center"/>
          </w:tcPr>
          <w:p w14:paraId="66EC2F17"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color w:val="000000"/>
                <w:sz w:val="21"/>
              </w:rPr>
              <w:t xml:space="preserve">How does the international tourism evolve in </w:t>
            </w:r>
            <w:proofErr w:type="gramStart"/>
            <w:r w:rsidRPr="00B1412D">
              <w:rPr>
                <w:rFonts w:asciiTheme="minorEastAsia" w:eastAsiaTheme="minorEastAsia" w:hAnsiTheme="minorEastAsia" w:cs="方正仿宋简体"/>
                <w:color w:val="000000"/>
                <w:sz w:val="21"/>
              </w:rPr>
              <w:t>the</w:t>
            </w:r>
            <w:proofErr w:type="gramEnd"/>
          </w:p>
          <w:p w14:paraId="0DD785B6"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color w:val="000000"/>
                <w:sz w:val="21"/>
              </w:rPr>
              <w:t xml:space="preserve">past twenty years? </w:t>
            </w:r>
          </w:p>
        </w:tc>
        <w:tc>
          <w:tcPr>
            <w:tcW w:w="1029" w:type="dxa"/>
            <w:vAlign w:val="center"/>
          </w:tcPr>
          <w:p w14:paraId="2031505D"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罗丹</w:t>
            </w:r>
          </w:p>
        </w:tc>
        <w:tc>
          <w:tcPr>
            <w:tcW w:w="911" w:type="dxa"/>
            <w:vAlign w:val="center"/>
          </w:tcPr>
          <w:p w14:paraId="1EE4D0EF"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第一作者</w:t>
            </w:r>
          </w:p>
        </w:tc>
        <w:tc>
          <w:tcPr>
            <w:tcW w:w="1074" w:type="dxa"/>
            <w:vAlign w:val="center"/>
          </w:tcPr>
          <w:p w14:paraId="4B302FCC"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color w:val="000000"/>
                <w:sz w:val="21"/>
              </w:rPr>
              <w:t xml:space="preserve">Asia Pacific Journal of Tourism Research </w:t>
            </w:r>
          </w:p>
        </w:tc>
        <w:tc>
          <w:tcPr>
            <w:tcW w:w="1696" w:type="dxa"/>
            <w:vAlign w:val="center"/>
          </w:tcPr>
          <w:p w14:paraId="12A6902F"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color w:val="000000"/>
                <w:sz w:val="21"/>
              </w:rPr>
              <w:t xml:space="preserve">2021,1 </w:t>
            </w:r>
          </w:p>
        </w:tc>
        <w:tc>
          <w:tcPr>
            <w:tcW w:w="1203" w:type="dxa"/>
            <w:vAlign w:val="center"/>
          </w:tcPr>
          <w:p w14:paraId="1AF62435" w14:textId="77777777" w:rsidR="00CB0E91" w:rsidRPr="00B1412D" w:rsidRDefault="00AC5FF7">
            <w:pPr>
              <w:adjustRightInd w:val="0"/>
              <w:snapToGrid w:val="0"/>
              <w:jc w:val="center"/>
              <w:rPr>
                <w:rFonts w:asciiTheme="minorEastAsia" w:eastAsiaTheme="minorEastAsia" w:hAnsiTheme="minorEastAsia" w:cs="方正仿宋简体"/>
                <w:color w:val="000000"/>
                <w:sz w:val="21"/>
              </w:rPr>
            </w:pPr>
            <w:r w:rsidRPr="00B1412D">
              <w:rPr>
                <w:rFonts w:asciiTheme="minorEastAsia" w:eastAsiaTheme="minorEastAsia" w:hAnsiTheme="minorEastAsia" w:cs="方正仿宋简体" w:hint="eastAsia"/>
                <w:color w:val="000000"/>
                <w:sz w:val="21"/>
              </w:rPr>
              <w:t>SSCI</w:t>
            </w:r>
          </w:p>
        </w:tc>
      </w:tr>
    </w:tbl>
    <w:p w14:paraId="6103C999" w14:textId="6008F864" w:rsidR="00643C51" w:rsidRPr="00B1412D" w:rsidRDefault="00643C51">
      <w:pPr>
        <w:pStyle w:val="a7"/>
        <w:spacing w:line="360" w:lineRule="auto"/>
        <w:ind w:firstLineChars="200" w:firstLine="562"/>
        <w:rPr>
          <w:rFonts w:asciiTheme="minorHAnsi" w:eastAsiaTheme="minorEastAsia" w:hAnsiTheme="minorHAnsi" w:cstheme="minorBidi"/>
          <w:b/>
          <w:bCs/>
          <w:sz w:val="28"/>
          <w:szCs w:val="36"/>
        </w:rPr>
      </w:pPr>
      <w:r w:rsidRPr="00B1412D">
        <w:rPr>
          <w:rFonts w:asciiTheme="minorHAnsi" w:eastAsiaTheme="minorEastAsia" w:hAnsiTheme="minorHAnsi" w:cstheme="minorBidi"/>
          <w:b/>
          <w:bCs/>
          <w:sz w:val="28"/>
          <w:szCs w:val="36"/>
        </w:rPr>
        <w:t>（四）传承创新</w:t>
      </w:r>
      <w:r w:rsidRPr="00B1412D">
        <w:rPr>
          <w:rFonts w:asciiTheme="minorHAnsi" w:eastAsiaTheme="minorEastAsia" w:hAnsiTheme="minorHAnsi" w:cstheme="minorBidi" w:hint="eastAsia"/>
          <w:b/>
          <w:bCs/>
          <w:sz w:val="28"/>
          <w:szCs w:val="36"/>
        </w:rPr>
        <w:t>优秀</w:t>
      </w:r>
      <w:r w:rsidRPr="00B1412D">
        <w:rPr>
          <w:rFonts w:asciiTheme="minorHAnsi" w:eastAsiaTheme="minorEastAsia" w:hAnsiTheme="minorHAnsi" w:cstheme="minorBidi"/>
          <w:b/>
          <w:bCs/>
          <w:sz w:val="28"/>
          <w:szCs w:val="36"/>
        </w:rPr>
        <w:t>文化</w:t>
      </w:r>
    </w:p>
    <w:p w14:paraId="7DE17137" w14:textId="77777777" w:rsidR="008269CC" w:rsidRDefault="003D07BB">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优秀</w:t>
      </w:r>
      <w:r w:rsidR="00B535C3" w:rsidRPr="00B535C3">
        <w:rPr>
          <w:rStyle w:val="NormalCharacter"/>
          <w:rFonts w:ascii="宋体" w:eastAsia="宋体" w:hAnsi="宋体" w:hint="eastAsia"/>
          <w:bCs/>
          <w:sz w:val="28"/>
          <w:szCs w:val="28"/>
        </w:rPr>
        <w:t>文化具有重要的思想道德教育功能，可以促使旅游管理专业学生提高自身的</w:t>
      </w:r>
      <w:r>
        <w:rPr>
          <w:rStyle w:val="NormalCharacter"/>
          <w:rFonts w:ascii="宋体" w:eastAsia="宋体" w:hAnsi="宋体" w:hint="eastAsia"/>
          <w:bCs/>
          <w:sz w:val="28"/>
          <w:szCs w:val="28"/>
        </w:rPr>
        <w:t>思想</w:t>
      </w:r>
      <w:r w:rsidR="00B535C3" w:rsidRPr="00B535C3">
        <w:rPr>
          <w:rStyle w:val="NormalCharacter"/>
          <w:rFonts w:ascii="宋体" w:eastAsia="宋体" w:hAnsi="宋体" w:hint="eastAsia"/>
          <w:bCs/>
          <w:sz w:val="28"/>
          <w:szCs w:val="28"/>
        </w:rPr>
        <w:t>道德素质。在旅游管理专业中融合</w:t>
      </w:r>
      <w:r>
        <w:rPr>
          <w:rStyle w:val="NormalCharacter"/>
          <w:rFonts w:ascii="宋体" w:eastAsia="宋体" w:hAnsi="宋体" w:hint="eastAsia"/>
          <w:bCs/>
          <w:sz w:val="28"/>
          <w:szCs w:val="28"/>
        </w:rPr>
        <w:t>优秀</w:t>
      </w:r>
      <w:r w:rsidR="00B535C3" w:rsidRPr="00B535C3">
        <w:rPr>
          <w:rStyle w:val="NormalCharacter"/>
          <w:rFonts w:ascii="宋体" w:eastAsia="宋体" w:hAnsi="宋体" w:hint="eastAsia"/>
          <w:bCs/>
          <w:sz w:val="28"/>
          <w:szCs w:val="28"/>
        </w:rPr>
        <w:t>文化绝不能仅仅停留在基础理论层面，还要加强教育实践活动，促使旅游管理专业学生在实践中体会</w:t>
      </w:r>
      <w:r>
        <w:rPr>
          <w:rStyle w:val="NormalCharacter"/>
          <w:rFonts w:ascii="宋体" w:eastAsia="宋体" w:hAnsi="宋体" w:hint="eastAsia"/>
          <w:bCs/>
          <w:sz w:val="28"/>
          <w:szCs w:val="28"/>
        </w:rPr>
        <w:t>优秀</w:t>
      </w:r>
      <w:r w:rsidR="00B535C3" w:rsidRPr="00B535C3">
        <w:rPr>
          <w:rStyle w:val="NormalCharacter"/>
          <w:rFonts w:ascii="宋体" w:eastAsia="宋体" w:hAnsi="宋体" w:hint="eastAsia"/>
          <w:bCs/>
          <w:sz w:val="28"/>
          <w:szCs w:val="28"/>
        </w:rPr>
        <w:t>文化的魅力，并加深对</w:t>
      </w:r>
      <w:r>
        <w:rPr>
          <w:rStyle w:val="NormalCharacter"/>
          <w:rFonts w:ascii="宋体" w:eastAsia="宋体" w:hAnsi="宋体" w:hint="eastAsia"/>
          <w:bCs/>
          <w:sz w:val="28"/>
          <w:szCs w:val="28"/>
        </w:rPr>
        <w:t>优秀</w:t>
      </w:r>
      <w:r w:rsidR="00B535C3" w:rsidRPr="00B535C3">
        <w:rPr>
          <w:rStyle w:val="NormalCharacter"/>
          <w:rFonts w:ascii="宋体" w:eastAsia="宋体" w:hAnsi="宋体" w:hint="eastAsia"/>
          <w:bCs/>
          <w:sz w:val="28"/>
          <w:szCs w:val="28"/>
        </w:rPr>
        <w:t>文化的了解和掌握。</w:t>
      </w:r>
    </w:p>
    <w:p w14:paraId="32181FA9" w14:textId="33F95657" w:rsidR="00643C51" w:rsidRPr="003D07BB" w:rsidRDefault="005363C8" w:rsidP="008269CC">
      <w:pPr>
        <w:pStyle w:val="a7"/>
        <w:spacing w:line="360" w:lineRule="auto"/>
        <w:ind w:firstLineChars="200" w:firstLine="560"/>
        <w:rPr>
          <w:rStyle w:val="NormalCharacter"/>
          <w:rFonts w:ascii="宋体" w:eastAsia="宋体" w:hAnsi="宋体"/>
          <w:bCs/>
          <w:sz w:val="28"/>
          <w:szCs w:val="28"/>
        </w:rPr>
      </w:pPr>
      <w:r w:rsidRPr="005363C8">
        <w:rPr>
          <w:rFonts w:ascii="宋体" w:eastAsia="宋体" w:hAnsi="宋体"/>
          <w:bCs/>
          <w:sz w:val="28"/>
          <w:szCs w:val="28"/>
        </w:rPr>
        <w:lastRenderedPageBreak/>
        <w:t>江西是著名革命老区，有着深厚的革命传统和光辉历史，革命遗址众多，</w:t>
      </w:r>
      <w:r w:rsidR="003D07BB">
        <w:rPr>
          <w:rFonts w:ascii="宋体" w:eastAsia="宋体" w:hAnsi="宋体" w:hint="eastAsia"/>
          <w:bCs/>
          <w:sz w:val="28"/>
          <w:szCs w:val="28"/>
        </w:rPr>
        <w:t>蕴含着丰富的红色文化。在2</w:t>
      </w:r>
      <w:r w:rsidR="003D07BB">
        <w:rPr>
          <w:rFonts w:ascii="宋体" w:eastAsia="宋体" w:hAnsi="宋体"/>
          <w:bCs/>
          <w:sz w:val="28"/>
          <w:szCs w:val="28"/>
        </w:rPr>
        <w:t>021</w:t>
      </w:r>
      <w:r w:rsidR="003D07BB">
        <w:rPr>
          <w:rFonts w:ascii="宋体" w:eastAsia="宋体" w:hAnsi="宋体" w:hint="eastAsia"/>
          <w:bCs/>
          <w:sz w:val="28"/>
          <w:szCs w:val="28"/>
        </w:rPr>
        <w:t>年8月，江西省文化和旅游厅下发《关于配合做好红色文化资源保护与利用</w:t>
      </w:r>
      <w:r w:rsidR="00262F68">
        <w:rPr>
          <w:rFonts w:ascii="宋体" w:eastAsia="宋体" w:hAnsi="宋体" w:hint="eastAsia"/>
          <w:bCs/>
          <w:sz w:val="28"/>
          <w:szCs w:val="28"/>
        </w:rPr>
        <w:t>总体规划现场调研工作的通知》，本</w:t>
      </w:r>
      <w:proofErr w:type="gramStart"/>
      <w:r w:rsidR="00262F68">
        <w:rPr>
          <w:rFonts w:ascii="宋体" w:eastAsia="宋体" w:hAnsi="宋体" w:hint="eastAsia"/>
          <w:bCs/>
          <w:sz w:val="28"/>
          <w:szCs w:val="28"/>
        </w:rPr>
        <w:t>专业硕导彭燕</w:t>
      </w:r>
      <w:proofErr w:type="gramEnd"/>
      <w:r w:rsidR="00262F68">
        <w:rPr>
          <w:rFonts w:ascii="宋体" w:eastAsia="宋体" w:hAnsi="宋体" w:hint="eastAsia"/>
          <w:bCs/>
          <w:sz w:val="28"/>
          <w:szCs w:val="28"/>
        </w:rPr>
        <w:t>老师作为A组的专家，带领研究生对南昌、九江、景德镇、上饶、鹰潭、宜春、萍乡的红色旅游资源进行实地调研和考察</w:t>
      </w:r>
      <w:r w:rsidR="00030AC2">
        <w:rPr>
          <w:rFonts w:ascii="宋体" w:eastAsia="宋体" w:hAnsi="宋体" w:hint="eastAsia"/>
          <w:bCs/>
          <w:sz w:val="28"/>
          <w:szCs w:val="28"/>
        </w:rPr>
        <w:t>，学习革命历史知识，接受革命传统教育，感受红色革命精神</w:t>
      </w:r>
      <w:r w:rsidR="00635044">
        <w:rPr>
          <w:rFonts w:ascii="宋体" w:eastAsia="宋体" w:hAnsi="宋体" w:hint="eastAsia"/>
          <w:bCs/>
          <w:sz w:val="28"/>
          <w:szCs w:val="28"/>
        </w:rPr>
        <w:t>。</w:t>
      </w:r>
      <w:r w:rsidR="008269CC">
        <w:rPr>
          <w:rFonts w:ascii="宋体" w:eastAsia="宋体" w:hAnsi="宋体" w:hint="eastAsia"/>
          <w:bCs/>
          <w:sz w:val="28"/>
          <w:szCs w:val="28"/>
        </w:rPr>
        <w:t>通过实践教育，研究生能够更好地</w:t>
      </w:r>
      <w:r w:rsidR="00635044" w:rsidRPr="00635044">
        <w:rPr>
          <w:rFonts w:ascii="宋体" w:eastAsia="宋体" w:hAnsi="宋体"/>
          <w:bCs/>
          <w:sz w:val="28"/>
          <w:szCs w:val="28"/>
        </w:rPr>
        <w:t>了解红色文化</w:t>
      </w:r>
      <w:r w:rsidR="008269CC">
        <w:rPr>
          <w:rFonts w:ascii="宋体" w:eastAsia="宋体" w:hAnsi="宋体" w:hint="eastAsia"/>
          <w:bCs/>
          <w:sz w:val="28"/>
          <w:szCs w:val="28"/>
        </w:rPr>
        <w:t>，</w:t>
      </w:r>
      <w:r w:rsidR="00635044" w:rsidRPr="00635044">
        <w:rPr>
          <w:rFonts w:ascii="宋体" w:eastAsia="宋体" w:hAnsi="宋体"/>
          <w:bCs/>
          <w:sz w:val="28"/>
          <w:szCs w:val="28"/>
        </w:rPr>
        <w:t>更好地接受红色文化精神</w:t>
      </w:r>
      <w:r w:rsidR="008269CC">
        <w:rPr>
          <w:rFonts w:ascii="宋体" w:eastAsia="宋体" w:hAnsi="宋体" w:hint="eastAsia"/>
          <w:bCs/>
          <w:sz w:val="28"/>
          <w:szCs w:val="28"/>
        </w:rPr>
        <w:t>的熏陶，</w:t>
      </w:r>
      <w:r w:rsidR="00635044" w:rsidRPr="00635044">
        <w:rPr>
          <w:rFonts w:ascii="宋体" w:eastAsia="宋体" w:hAnsi="宋体"/>
          <w:bCs/>
          <w:sz w:val="28"/>
          <w:szCs w:val="28"/>
        </w:rPr>
        <w:t>传递正面价值观念，在潜移默化中使人自觉产生文化认同感</w:t>
      </w:r>
      <w:r w:rsidR="008269CC">
        <w:rPr>
          <w:rFonts w:ascii="宋体" w:eastAsia="宋体" w:hAnsi="宋体" w:hint="eastAsia"/>
          <w:bCs/>
          <w:sz w:val="28"/>
          <w:szCs w:val="28"/>
        </w:rPr>
        <w:t>，从而</w:t>
      </w:r>
      <w:r w:rsidR="00635044" w:rsidRPr="00635044">
        <w:rPr>
          <w:rFonts w:ascii="宋体" w:eastAsia="宋体" w:hAnsi="宋体"/>
          <w:bCs/>
          <w:sz w:val="28"/>
          <w:szCs w:val="28"/>
        </w:rPr>
        <w:t>不断发扬红色文化的社会引领价值</w:t>
      </w:r>
      <w:r w:rsidR="008269CC">
        <w:rPr>
          <w:rFonts w:ascii="宋体" w:eastAsia="宋体" w:hAnsi="宋体" w:hint="eastAsia"/>
          <w:bCs/>
          <w:sz w:val="28"/>
          <w:szCs w:val="28"/>
        </w:rPr>
        <w:t>。</w:t>
      </w:r>
    </w:p>
    <w:p w14:paraId="390C0E7B" w14:textId="72F1AC56" w:rsidR="00643C51" w:rsidRPr="00643C51" w:rsidRDefault="00643C51" w:rsidP="00643C51">
      <w:pPr>
        <w:pStyle w:val="1"/>
        <w:spacing w:line="360" w:lineRule="auto"/>
        <w:rPr>
          <w:rStyle w:val="NormalCharacter"/>
          <w:rFonts w:asciiTheme="minorEastAsia" w:eastAsiaTheme="minorEastAsia" w:hAnsiTheme="minorEastAsia"/>
          <w:sz w:val="32"/>
        </w:rPr>
      </w:pPr>
      <w:r>
        <w:rPr>
          <w:rStyle w:val="NormalCharacter"/>
          <w:rFonts w:asciiTheme="minorEastAsia" w:eastAsiaTheme="minorEastAsia" w:hAnsiTheme="minorEastAsia" w:hint="eastAsia"/>
          <w:sz w:val="32"/>
        </w:rPr>
        <w:t>五</w:t>
      </w:r>
      <w:r>
        <w:rPr>
          <w:rStyle w:val="NormalCharacter"/>
          <w:rFonts w:asciiTheme="minorEastAsia" w:eastAsiaTheme="minorEastAsia" w:hAnsiTheme="minorEastAsia"/>
          <w:sz w:val="32"/>
        </w:rPr>
        <w:t>、教育质量评估与分析</w:t>
      </w:r>
    </w:p>
    <w:p w14:paraId="08B3FC58" w14:textId="383048E1" w:rsidR="008D39B4" w:rsidRPr="00B1412D" w:rsidRDefault="008D39B4">
      <w:pPr>
        <w:pStyle w:val="a7"/>
        <w:spacing w:line="360" w:lineRule="auto"/>
        <w:ind w:firstLineChars="200" w:firstLine="562"/>
        <w:rPr>
          <w:rFonts w:asciiTheme="minorHAnsi" w:eastAsiaTheme="minorEastAsia" w:hAnsiTheme="minorHAnsi" w:cstheme="minorBidi"/>
          <w:b/>
          <w:bCs/>
          <w:sz w:val="28"/>
          <w:szCs w:val="36"/>
        </w:rPr>
      </w:pPr>
      <w:r w:rsidRPr="00B1412D">
        <w:rPr>
          <w:rFonts w:asciiTheme="minorHAnsi" w:eastAsiaTheme="minorEastAsia" w:hAnsiTheme="minorHAnsi" w:cstheme="minorBidi"/>
          <w:b/>
          <w:bCs/>
          <w:sz w:val="28"/>
          <w:szCs w:val="36"/>
        </w:rPr>
        <w:t>（一）学位点自我评估进展及存在问题分析</w:t>
      </w:r>
    </w:p>
    <w:p w14:paraId="2F68B8FB" w14:textId="6DD10245" w:rsidR="008D39B4" w:rsidRDefault="008D39B4">
      <w:pPr>
        <w:pStyle w:val="a7"/>
        <w:spacing w:line="360" w:lineRule="auto"/>
        <w:ind w:firstLineChars="200" w:firstLine="560"/>
        <w:rPr>
          <w:rFonts w:ascii="宋体" w:eastAsia="宋体" w:hAnsi="宋体"/>
          <w:bCs/>
          <w:sz w:val="28"/>
          <w:szCs w:val="28"/>
        </w:rPr>
      </w:pPr>
      <w:r>
        <w:rPr>
          <w:rStyle w:val="NormalCharacter"/>
          <w:rFonts w:ascii="宋体" w:eastAsia="宋体" w:hAnsi="宋体" w:hint="eastAsia"/>
          <w:bCs/>
          <w:sz w:val="28"/>
          <w:szCs w:val="28"/>
        </w:rPr>
        <w:t>根据国家教指委MTA指导性培养方案的要求，旅游管理专业学位授权点结合江西科技师范大学的实际情况，明确了课程体系设置的总体思路，课程设置体现理论与实践相结合的原则，以实际应用为导向，以职业需求为目标，以综合素养和应用知识与能力的提高为核心，同时依托江西科技师范大学职教学科优势，凸显“地域文化特色”和“乡村旅游特色”，在理论与实践培养中渗透职教师资素养教育，使学生通过课程教学，能够获得扎实深厚的理论基础知识、专业技能和职教师范教育能力。</w:t>
      </w:r>
      <w:r w:rsidR="006539AE" w:rsidRPr="006539AE">
        <w:rPr>
          <w:rFonts w:ascii="宋体" w:eastAsia="宋体" w:hAnsi="宋体" w:hint="eastAsia"/>
          <w:bCs/>
          <w:sz w:val="28"/>
          <w:szCs w:val="28"/>
        </w:rPr>
        <w:t>但在自我评估过程中也发现了诸多不足</w:t>
      </w:r>
      <w:r w:rsidR="006539AE">
        <w:rPr>
          <w:rFonts w:ascii="宋体" w:eastAsia="宋体" w:hAnsi="宋体" w:hint="eastAsia"/>
          <w:bCs/>
          <w:sz w:val="28"/>
          <w:szCs w:val="28"/>
        </w:rPr>
        <w:t>，主要有以下</w:t>
      </w:r>
      <w:r w:rsidR="006539AE" w:rsidRPr="00B1412D">
        <w:rPr>
          <w:rFonts w:ascii="宋体" w:eastAsia="宋体" w:hAnsi="宋体" w:hint="eastAsia"/>
          <w:bCs/>
          <w:sz w:val="28"/>
          <w:szCs w:val="28"/>
        </w:rPr>
        <w:t>几个方面：</w:t>
      </w:r>
    </w:p>
    <w:p w14:paraId="182592CC" w14:textId="726B45BB" w:rsidR="00B759AA" w:rsidRDefault="00B37A67">
      <w:pPr>
        <w:pStyle w:val="a7"/>
        <w:spacing w:line="360" w:lineRule="auto"/>
        <w:ind w:firstLineChars="200" w:firstLine="560"/>
        <w:rPr>
          <w:rFonts w:ascii="宋体" w:eastAsia="宋体" w:hAnsi="宋体"/>
          <w:bCs/>
          <w:sz w:val="28"/>
          <w:szCs w:val="28"/>
        </w:rPr>
      </w:pPr>
      <w:r w:rsidRPr="00B37A67">
        <w:rPr>
          <w:rFonts w:ascii="宋体" w:eastAsia="宋体" w:hAnsi="宋体"/>
          <w:bCs/>
          <w:sz w:val="28"/>
          <w:szCs w:val="28"/>
        </w:rPr>
        <w:lastRenderedPageBreak/>
        <w:t>（1）本专业硕士点案例教学编写水平有待提高。自编 MTA 案例数量和类型不够丰富，借鉴兄弟院校经验，鼓励教师积极参与案例编写</w:t>
      </w:r>
      <w:r w:rsidR="00B759AA">
        <w:rPr>
          <w:rFonts w:ascii="宋体" w:eastAsia="宋体" w:hAnsi="宋体" w:hint="eastAsia"/>
          <w:bCs/>
          <w:sz w:val="28"/>
          <w:szCs w:val="28"/>
        </w:rPr>
        <w:t>，</w:t>
      </w:r>
      <w:r w:rsidRPr="00B37A67">
        <w:rPr>
          <w:rFonts w:ascii="宋体" w:eastAsia="宋体" w:hAnsi="宋体"/>
          <w:bCs/>
          <w:sz w:val="28"/>
          <w:szCs w:val="28"/>
        </w:rPr>
        <w:t xml:space="preserve">支持教师参加 MTA </w:t>
      </w:r>
      <w:proofErr w:type="gramStart"/>
      <w:r w:rsidRPr="00B37A67">
        <w:rPr>
          <w:rFonts w:ascii="宋体" w:eastAsia="宋体" w:hAnsi="宋体"/>
          <w:bCs/>
          <w:sz w:val="28"/>
          <w:szCs w:val="28"/>
        </w:rPr>
        <w:t>教指委</w:t>
      </w:r>
      <w:proofErr w:type="gramEnd"/>
      <w:r w:rsidRPr="00B37A67">
        <w:rPr>
          <w:rFonts w:ascii="宋体" w:eastAsia="宋体" w:hAnsi="宋体"/>
          <w:bCs/>
          <w:sz w:val="28"/>
          <w:szCs w:val="28"/>
        </w:rPr>
        <w:t xml:space="preserve">组织的案例研究论坛和案例教学研讨培训。 </w:t>
      </w:r>
    </w:p>
    <w:p w14:paraId="065100F0" w14:textId="7D560089" w:rsidR="00B37A67" w:rsidRDefault="00B37A67">
      <w:pPr>
        <w:pStyle w:val="a7"/>
        <w:spacing w:line="360" w:lineRule="auto"/>
        <w:ind w:firstLineChars="200" w:firstLine="560"/>
        <w:rPr>
          <w:rFonts w:ascii="宋体" w:eastAsia="宋体" w:hAnsi="宋体"/>
          <w:bCs/>
          <w:sz w:val="28"/>
          <w:szCs w:val="28"/>
        </w:rPr>
      </w:pPr>
      <w:r w:rsidRPr="00B37A67">
        <w:rPr>
          <w:rFonts w:ascii="宋体" w:eastAsia="宋体" w:hAnsi="宋体"/>
          <w:bCs/>
          <w:sz w:val="28"/>
          <w:szCs w:val="28"/>
        </w:rPr>
        <w:t>（</w:t>
      </w:r>
      <w:r w:rsidR="004623A3">
        <w:rPr>
          <w:rFonts w:ascii="宋体" w:eastAsia="宋体" w:hAnsi="宋体"/>
          <w:bCs/>
          <w:sz w:val="28"/>
          <w:szCs w:val="28"/>
        </w:rPr>
        <w:t>2</w:t>
      </w:r>
      <w:r w:rsidRPr="00B37A67">
        <w:rPr>
          <w:rFonts w:ascii="宋体" w:eastAsia="宋体" w:hAnsi="宋体"/>
          <w:bCs/>
          <w:sz w:val="28"/>
          <w:szCs w:val="28"/>
        </w:rPr>
        <w:t>）</w:t>
      </w:r>
      <w:r w:rsidR="00B759AA">
        <w:rPr>
          <w:rFonts w:ascii="宋体" w:eastAsia="宋体" w:hAnsi="宋体" w:hint="eastAsia"/>
          <w:bCs/>
          <w:sz w:val="28"/>
          <w:szCs w:val="28"/>
        </w:rPr>
        <w:t>科研经费</w:t>
      </w:r>
      <w:r w:rsidRPr="00B37A67">
        <w:rPr>
          <w:rFonts w:ascii="宋体" w:eastAsia="宋体" w:hAnsi="宋体"/>
          <w:bCs/>
          <w:sz w:val="28"/>
          <w:szCs w:val="28"/>
        </w:rPr>
        <w:t>投入不足</w:t>
      </w:r>
      <w:r w:rsidR="00B759AA">
        <w:rPr>
          <w:rFonts w:ascii="宋体" w:eastAsia="宋体" w:hAnsi="宋体" w:hint="eastAsia"/>
          <w:bCs/>
          <w:sz w:val="28"/>
          <w:szCs w:val="28"/>
        </w:rPr>
        <w:t>，科研成果产出少。在本次自评中，发现本专业骨干教师横向课题偏少，科研经费未达到标准中要求的人均四万</w:t>
      </w:r>
      <w:r w:rsidR="00F916FD">
        <w:rPr>
          <w:rFonts w:ascii="宋体" w:eastAsia="宋体" w:hAnsi="宋体" w:hint="eastAsia"/>
          <w:bCs/>
          <w:sz w:val="28"/>
          <w:szCs w:val="28"/>
        </w:rPr>
        <w:t>，缺乏高质量科研成果。</w:t>
      </w:r>
    </w:p>
    <w:p w14:paraId="00B28805" w14:textId="53A5F32C" w:rsidR="00F916FD" w:rsidRDefault="00F916FD" w:rsidP="00F916FD">
      <w:pPr>
        <w:pStyle w:val="a7"/>
        <w:spacing w:line="360" w:lineRule="auto"/>
        <w:ind w:firstLineChars="200" w:firstLine="560"/>
        <w:rPr>
          <w:rFonts w:ascii="宋体" w:eastAsia="宋体" w:hAnsi="宋体"/>
          <w:bCs/>
          <w:sz w:val="28"/>
          <w:szCs w:val="28"/>
        </w:rPr>
      </w:pPr>
      <w:r w:rsidRPr="00B37A67">
        <w:rPr>
          <w:rFonts w:ascii="宋体" w:eastAsia="宋体" w:hAnsi="宋体"/>
          <w:bCs/>
          <w:sz w:val="28"/>
          <w:szCs w:val="28"/>
        </w:rPr>
        <w:t>（</w:t>
      </w:r>
      <w:r w:rsidR="004623A3">
        <w:rPr>
          <w:rFonts w:ascii="宋体" w:eastAsia="宋体" w:hAnsi="宋体"/>
          <w:bCs/>
          <w:sz w:val="28"/>
          <w:szCs w:val="28"/>
        </w:rPr>
        <w:t>3</w:t>
      </w:r>
      <w:r w:rsidRPr="00B37A67">
        <w:rPr>
          <w:rFonts w:ascii="宋体" w:eastAsia="宋体" w:hAnsi="宋体"/>
          <w:bCs/>
          <w:sz w:val="28"/>
          <w:szCs w:val="28"/>
        </w:rPr>
        <w:t>）国际化办学与实践基地的质量有待提升。</w:t>
      </w:r>
      <w:r w:rsidR="004623A3">
        <w:rPr>
          <w:rFonts w:ascii="宋体" w:eastAsia="宋体" w:hAnsi="宋体" w:hint="eastAsia"/>
          <w:bCs/>
          <w:sz w:val="28"/>
          <w:szCs w:val="28"/>
        </w:rPr>
        <w:t>本学位点在国际交流方面的建设较为薄弱，</w:t>
      </w:r>
      <w:r w:rsidRPr="00B37A67">
        <w:rPr>
          <w:rFonts w:ascii="宋体" w:eastAsia="宋体" w:hAnsi="宋体"/>
          <w:bCs/>
          <w:sz w:val="28"/>
          <w:szCs w:val="28"/>
        </w:rPr>
        <w:t>为培养具有国际视野的高层次旅游管理人才，</w:t>
      </w:r>
      <w:r>
        <w:rPr>
          <w:rFonts w:ascii="宋体" w:eastAsia="宋体" w:hAnsi="宋体" w:hint="eastAsia"/>
          <w:bCs/>
          <w:sz w:val="28"/>
          <w:szCs w:val="28"/>
        </w:rPr>
        <w:t>需要积极</w:t>
      </w:r>
      <w:r w:rsidRPr="00B37A67">
        <w:rPr>
          <w:rFonts w:ascii="宋体" w:eastAsia="宋体" w:hAnsi="宋体"/>
          <w:bCs/>
          <w:sz w:val="28"/>
          <w:szCs w:val="28"/>
        </w:rPr>
        <w:t>加强与</w:t>
      </w:r>
      <w:r>
        <w:rPr>
          <w:rFonts w:ascii="宋体" w:eastAsia="宋体" w:hAnsi="宋体" w:hint="eastAsia"/>
          <w:bCs/>
          <w:sz w:val="28"/>
          <w:szCs w:val="28"/>
        </w:rPr>
        <w:t>其它</w:t>
      </w:r>
      <w:r w:rsidRPr="00B37A67">
        <w:rPr>
          <w:rFonts w:ascii="宋体" w:eastAsia="宋体" w:hAnsi="宋体"/>
          <w:bCs/>
          <w:sz w:val="28"/>
          <w:szCs w:val="28"/>
        </w:rPr>
        <w:t>国家</w:t>
      </w:r>
      <w:r>
        <w:rPr>
          <w:rFonts w:ascii="宋体" w:eastAsia="宋体" w:hAnsi="宋体" w:hint="eastAsia"/>
          <w:bCs/>
          <w:sz w:val="28"/>
          <w:szCs w:val="28"/>
        </w:rPr>
        <w:t>的</w:t>
      </w:r>
      <w:r w:rsidRPr="00B37A67">
        <w:rPr>
          <w:rFonts w:ascii="宋体" w:eastAsia="宋体" w:hAnsi="宋体"/>
          <w:bCs/>
          <w:sz w:val="28"/>
          <w:szCs w:val="28"/>
        </w:rPr>
        <w:t>国际化合作</w:t>
      </w:r>
      <w:r>
        <w:rPr>
          <w:rFonts w:ascii="宋体" w:eastAsia="宋体" w:hAnsi="宋体" w:hint="eastAsia"/>
          <w:bCs/>
          <w:sz w:val="28"/>
          <w:szCs w:val="28"/>
        </w:rPr>
        <w:t>以及</w:t>
      </w:r>
      <w:r w:rsidRPr="00B37A67">
        <w:rPr>
          <w:rFonts w:ascii="宋体" w:eastAsia="宋体" w:hAnsi="宋体"/>
          <w:bCs/>
          <w:sz w:val="28"/>
          <w:szCs w:val="28"/>
        </w:rPr>
        <w:t>高级别实践平台</w:t>
      </w:r>
      <w:r>
        <w:rPr>
          <w:rFonts w:ascii="宋体" w:eastAsia="宋体" w:hAnsi="宋体" w:hint="eastAsia"/>
          <w:bCs/>
          <w:sz w:val="28"/>
          <w:szCs w:val="28"/>
        </w:rPr>
        <w:t>的</w:t>
      </w:r>
      <w:r w:rsidRPr="00B37A67">
        <w:rPr>
          <w:rFonts w:ascii="宋体" w:eastAsia="宋体" w:hAnsi="宋体"/>
          <w:bCs/>
          <w:sz w:val="28"/>
          <w:szCs w:val="28"/>
        </w:rPr>
        <w:t xml:space="preserve">建设，拓展学生实习基地资源。 </w:t>
      </w:r>
    </w:p>
    <w:p w14:paraId="5DA43C84" w14:textId="55173130" w:rsidR="00F916FD" w:rsidRPr="00F916FD" w:rsidRDefault="000A3A74">
      <w:pPr>
        <w:pStyle w:val="a7"/>
        <w:spacing w:line="360" w:lineRule="auto"/>
        <w:ind w:firstLineChars="200" w:firstLine="560"/>
        <w:rPr>
          <w:rStyle w:val="NormalCharacter"/>
          <w:rFonts w:ascii="宋体" w:eastAsia="宋体" w:hAnsi="宋体" w:hint="eastAsia"/>
          <w:bCs/>
          <w:sz w:val="28"/>
          <w:szCs w:val="28"/>
        </w:rPr>
      </w:pPr>
      <w:r>
        <w:rPr>
          <w:rFonts w:ascii="宋体" w:eastAsia="宋体" w:hAnsi="宋体" w:hint="eastAsia"/>
          <w:bCs/>
          <w:sz w:val="28"/>
          <w:szCs w:val="28"/>
        </w:rPr>
        <w:t>（4）实践教学案例不足</w:t>
      </w:r>
      <w:r w:rsidRPr="000A3A74">
        <w:rPr>
          <w:rFonts w:ascii="宋体" w:eastAsia="宋体" w:hAnsi="宋体"/>
          <w:bCs/>
          <w:sz w:val="28"/>
          <w:szCs w:val="28"/>
        </w:rPr>
        <w:t>。</w:t>
      </w:r>
      <w:r>
        <w:rPr>
          <w:rFonts w:ascii="宋体" w:eastAsia="宋体" w:hAnsi="宋体" w:hint="eastAsia"/>
          <w:bCs/>
          <w:sz w:val="28"/>
          <w:szCs w:val="28"/>
        </w:rPr>
        <w:t>本学位</w:t>
      </w:r>
      <w:proofErr w:type="gramStart"/>
      <w:r>
        <w:rPr>
          <w:rFonts w:ascii="宋体" w:eastAsia="宋体" w:hAnsi="宋体" w:hint="eastAsia"/>
          <w:bCs/>
          <w:sz w:val="28"/>
          <w:szCs w:val="28"/>
        </w:rPr>
        <w:t>点具备</w:t>
      </w:r>
      <w:proofErr w:type="gramEnd"/>
      <w:r>
        <w:rPr>
          <w:rFonts w:ascii="宋体" w:eastAsia="宋体" w:hAnsi="宋体" w:hint="eastAsia"/>
          <w:bCs/>
          <w:sz w:val="28"/>
          <w:szCs w:val="28"/>
        </w:rPr>
        <w:t>开展案例教学的硬件设施和基础条件，但关于旅游管理专业的</w:t>
      </w:r>
      <w:proofErr w:type="gramStart"/>
      <w:r>
        <w:rPr>
          <w:rFonts w:ascii="宋体" w:eastAsia="宋体" w:hAnsi="宋体" w:hint="eastAsia"/>
          <w:bCs/>
          <w:sz w:val="28"/>
          <w:szCs w:val="28"/>
        </w:rPr>
        <w:t>的</w:t>
      </w:r>
      <w:proofErr w:type="gramEnd"/>
      <w:r>
        <w:rPr>
          <w:rFonts w:ascii="宋体" w:eastAsia="宋体" w:hAnsi="宋体" w:hint="eastAsia"/>
          <w:bCs/>
          <w:sz w:val="28"/>
          <w:szCs w:val="28"/>
        </w:rPr>
        <w:t>获奖案例以及具有正式立项的旅游管理案例较少</w:t>
      </w:r>
      <w:r w:rsidR="00162DC2">
        <w:rPr>
          <w:rFonts w:ascii="宋体" w:eastAsia="宋体" w:hAnsi="宋体" w:hint="eastAsia"/>
          <w:bCs/>
          <w:sz w:val="28"/>
          <w:szCs w:val="28"/>
        </w:rPr>
        <w:t>，实践教学环节的执行力较弱。</w:t>
      </w:r>
    </w:p>
    <w:p w14:paraId="2386D1E2" w14:textId="2F1AF4DB" w:rsidR="008D39B4" w:rsidRPr="00B1412D" w:rsidRDefault="008D39B4">
      <w:pPr>
        <w:pStyle w:val="a7"/>
        <w:spacing w:line="360" w:lineRule="auto"/>
        <w:ind w:firstLineChars="200" w:firstLine="562"/>
        <w:rPr>
          <w:rFonts w:asciiTheme="minorHAnsi" w:eastAsiaTheme="minorEastAsia" w:hAnsiTheme="minorHAnsi" w:cstheme="minorBidi"/>
          <w:b/>
          <w:bCs/>
          <w:sz w:val="28"/>
          <w:szCs w:val="36"/>
        </w:rPr>
      </w:pPr>
      <w:r w:rsidRPr="00B1412D">
        <w:rPr>
          <w:rFonts w:asciiTheme="minorHAnsi" w:eastAsiaTheme="minorEastAsia" w:hAnsiTheme="minorHAnsi" w:cstheme="minorBidi"/>
          <w:b/>
          <w:bCs/>
          <w:sz w:val="28"/>
          <w:szCs w:val="36"/>
        </w:rPr>
        <w:t>（二）学位论文抽检、</w:t>
      </w:r>
      <w:proofErr w:type="gramStart"/>
      <w:r w:rsidRPr="00B1412D">
        <w:rPr>
          <w:rFonts w:asciiTheme="minorHAnsi" w:eastAsiaTheme="minorEastAsia" w:hAnsiTheme="minorHAnsi" w:cstheme="minorBidi"/>
          <w:b/>
          <w:bCs/>
          <w:sz w:val="28"/>
          <w:szCs w:val="36"/>
        </w:rPr>
        <w:t>盲审情况</w:t>
      </w:r>
      <w:proofErr w:type="gramEnd"/>
      <w:r w:rsidRPr="00B1412D">
        <w:rPr>
          <w:rFonts w:asciiTheme="minorHAnsi" w:eastAsiaTheme="minorEastAsia" w:hAnsiTheme="minorHAnsi" w:cstheme="minorBidi"/>
          <w:b/>
          <w:bCs/>
          <w:sz w:val="28"/>
          <w:szCs w:val="36"/>
        </w:rPr>
        <w:t>及问题分析</w:t>
      </w:r>
    </w:p>
    <w:p w14:paraId="0789C61D" w14:textId="772BFE8B" w:rsidR="00B37A67" w:rsidRDefault="00B37A67" w:rsidP="00B37A67">
      <w:pPr>
        <w:pStyle w:val="a7"/>
        <w:spacing w:line="360" w:lineRule="auto"/>
        <w:ind w:firstLineChars="200" w:firstLine="560"/>
        <w:rPr>
          <w:rStyle w:val="NormalCharacter"/>
          <w:rFonts w:ascii="宋体" w:eastAsia="宋体" w:hAnsi="宋体"/>
          <w:bCs/>
          <w:sz w:val="28"/>
          <w:szCs w:val="28"/>
        </w:rPr>
      </w:pPr>
      <w:r w:rsidRPr="00B37A67">
        <w:rPr>
          <w:rStyle w:val="NormalCharacter"/>
          <w:rFonts w:ascii="宋体" w:eastAsia="宋体" w:hAnsi="宋体" w:hint="eastAsia"/>
          <w:bCs/>
          <w:sz w:val="28"/>
          <w:szCs w:val="28"/>
        </w:rPr>
        <w:t>学生学位论文均体现了专业学位特点，突出学以致用，注重解决实际问题，具有一定的创新性和实用价值。学位论文类型均突出理论联系实际，采用案例分析和专题研究的方式，篇幅均不少于3万字，参考文献不少于30篇，其中外文参考文献不少于5篇。均通过学术不端问题审查及其并出具的书面结论，论文的</w:t>
      </w:r>
      <w:proofErr w:type="gramStart"/>
      <w:r w:rsidRPr="00B37A67">
        <w:rPr>
          <w:rStyle w:val="NormalCharacter"/>
          <w:rFonts w:ascii="宋体" w:eastAsia="宋体" w:hAnsi="宋体" w:hint="eastAsia"/>
          <w:bCs/>
          <w:sz w:val="28"/>
          <w:szCs w:val="28"/>
        </w:rPr>
        <w:t>总文字</w:t>
      </w:r>
      <w:proofErr w:type="gramEnd"/>
      <w:r w:rsidRPr="00B37A67">
        <w:rPr>
          <w:rStyle w:val="NormalCharacter"/>
          <w:rFonts w:ascii="宋体" w:eastAsia="宋体" w:hAnsi="宋体" w:hint="eastAsia"/>
          <w:bCs/>
          <w:sz w:val="28"/>
          <w:szCs w:val="28"/>
        </w:rPr>
        <w:t>复制低于10%、</w:t>
      </w:r>
      <w:r w:rsidRPr="00B37A67">
        <w:rPr>
          <w:rStyle w:val="NormalCharacter"/>
          <w:rFonts w:ascii="宋体" w:eastAsia="宋体" w:hAnsi="宋体" w:hint="eastAsia"/>
          <w:bCs/>
          <w:sz w:val="28"/>
          <w:szCs w:val="28"/>
        </w:rPr>
        <w:lastRenderedPageBreak/>
        <w:t>核心章节的复制比须低于8%。根据校外</w:t>
      </w:r>
      <w:proofErr w:type="gramStart"/>
      <w:r w:rsidRPr="00B37A67">
        <w:rPr>
          <w:rStyle w:val="NormalCharacter"/>
          <w:rFonts w:ascii="宋体" w:eastAsia="宋体" w:hAnsi="宋体" w:hint="eastAsia"/>
          <w:bCs/>
          <w:sz w:val="28"/>
          <w:szCs w:val="28"/>
        </w:rPr>
        <w:t>盲</w:t>
      </w:r>
      <w:proofErr w:type="gramEnd"/>
      <w:r w:rsidRPr="00B37A67">
        <w:rPr>
          <w:rStyle w:val="NormalCharacter"/>
          <w:rFonts w:ascii="宋体" w:eastAsia="宋体" w:hAnsi="宋体" w:hint="eastAsia"/>
          <w:bCs/>
          <w:sz w:val="28"/>
          <w:szCs w:val="28"/>
        </w:rPr>
        <w:t>审结果，其中最终1</w:t>
      </w:r>
      <w:r>
        <w:rPr>
          <w:rStyle w:val="NormalCharacter"/>
          <w:rFonts w:ascii="宋体" w:eastAsia="宋体" w:hAnsi="宋体"/>
          <w:bCs/>
          <w:sz w:val="28"/>
          <w:szCs w:val="28"/>
        </w:rPr>
        <w:t>3</w:t>
      </w:r>
      <w:r w:rsidRPr="00B37A67">
        <w:rPr>
          <w:rStyle w:val="NormalCharacter"/>
          <w:rFonts w:ascii="宋体" w:eastAsia="宋体" w:hAnsi="宋体" w:hint="eastAsia"/>
          <w:bCs/>
          <w:sz w:val="28"/>
          <w:szCs w:val="28"/>
        </w:rPr>
        <w:t>人通过校外盲审，</w:t>
      </w:r>
      <w:r>
        <w:rPr>
          <w:rStyle w:val="NormalCharacter"/>
          <w:rFonts w:ascii="宋体" w:eastAsia="宋体" w:hAnsi="宋体" w:hint="eastAsia"/>
          <w:bCs/>
          <w:sz w:val="28"/>
          <w:szCs w:val="28"/>
        </w:rPr>
        <w:t>其中</w:t>
      </w:r>
      <w:r w:rsidRPr="00B37A67">
        <w:rPr>
          <w:rStyle w:val="NormalCharacter"/>
          <w:rFonts w:ascii="宋体" w:eastAsia="宋体" w:hAnsi="宋体" w:hint="eastAsia"/>
          <w:bCs/>
          <w:sz w:val="28"/>
          <w:szCs w:val="28"/>
        </w:rPr>
        <w:t>，80分以上的为</w:t>
      </w:r>
      <w:r>
        <w:rPr>
          <w:rStyle w:val="NormalCharacter"/>
          <w:rFonts w:ascii="宋体" w:eastAsia="宋体" w:hAnsi="宋体"/>
          <w:bCs/>
          <w:sz w:val="28"/>
          <w:szCs w:val="28"/>
        </w:rPr>
        <w:t>4</w:t>
      </w:r>
      <w:r w:rsidRPr="00B37A67">
        <w:rPr>
          <w:rStyle w:val="NormalCharacter"/>
          <w:rFonts w:ascii="宋体" w:eastAsia="宋体" w:hAnsi="宋体" w:hint="eastAsia"/>
          <w:bCs/>
          <w:sz w:val="28"/>
          <w:szCs w:val="28"/>
        </w:rPr>
        <w:t>人。</w:t>
      </w:r>
    </w:p>
    <w:p w14:paraId="1DF950E1" w14:textId="545C3DBC" w:rsidR="00CB0E91" w:rsidRDefault="00AC5FF7">
      <w:pPr>
        <w:pStyle w:val="1"/>
        <w:spacing w:line="360" w:lineRule="auto"/>
        <w:rPr>
          <w:rStyle w:val="NormalCharacter"/>
          <w:rFonts w:asciiTheme="minorEastAsia" w:eastAsiaTheme="minorEastAsia" w:hAnsiTheme="minorEastAsia"/>
          <w:sz w:val="32"/>
        </w:rPr>
      </w:pPr>
      <w:r>
        <w:rPr>
          <w:rStyle w:val="NormalCharacter"/>
          <w:rFonts w:asciiTheme="minorEastAsia" w:eastAsiaTheme="minorEastAsia" w:hAnsiTheme="minorEastAsia" w:hint="eastAsia"/>
          <w:sz w:val="32"/>
        </w:rPr>
        <w:t>六、改进措施</w:t>
      </w:r>
    </w:p>
    <w:p w14:paraId="00A07B25"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（一）进一步完善师资配备，提高教师队伍的整体素质</w:t>
      </w:r>
    </w:p>
    <w:p w14:paraId="27A0DEC9" w14:textId="77777777" w:rsidR="00CB0E91" w:rsidRDefault="00AC5FF7">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在MTA教育规模不断扩大的同时，提高教学质量的关键在于师资力量。而要完善师资配备，就要充分满足M</w:t>
      </w:r>
      <w:r>
        <w:rPr>
          <w:rStyle w:val="NormalCharacter"/>
          <w:rFonts w:ascii="宋体" w:eastAsia="宋体" w:hAnsi="宋体"/>
          <w:bCs/>
          <w:sz w:val="28"/>
          <w:szCs w:val="28"/>
        </w:rPr>
        <w:t>T</w:t>
      </w:r>
      <w:r>
        <w:rPr>
          <w:rStyle w:val="NormalCharacter"/>
          <w:rFonts w:ascii="宋体" w:eastAsia="宋体" w:hAnsi="宋体" w:hint="eastAsia"/>
          <w:bCs/>
          <w:sz w:val="28"/>
          <w:szCs w:val="28"/>
        </w:rPr>
        <w:t>A学生培养的现实需要，做到教学为学生着想为社会服务。因此，学院将着手打造一支“学科带头人+骨干教师+候鸟型人才+专兼职双师型教师”为一体的教学科研团队，聘请事业单位相关专家、旅游文化业相关专家、高校相关专业专家等加入到MTA教育教学中，提升MTA师资队伍的综合实力。要进一步完善高层次人才引进机制，加大内培外引力度。通过引进一批具有副高及以上职称和博士以上学历的高层次人才以及一定数量具有技能专长的能工巧匠，提升教师队伍的基本素质，提高高级职称在教师队伍中的比例，推动现有教师转型。</w:t>
      </w:r>
    </w:p>
    <w:p w14:paraId="618F7C2B" w14:textId="77777777" w:rsidR="00CB0E91" w:rsidRDefault="00AC5FF7">
      <w:pPr>
        <w:spacing w:line="360" w:lineRule="auto"/>
        <w:ind w:firstLineChars="200" w:firstLine="562"/>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（二）加强学术梯队建设，注重横向课题研究</w:t>
      </w:r>
    </w:p>
    <w:p w14:paraId="589B56F9" w14:textId="77777777" w:rsidR="00CB0E91" w:rsidRDefault="00AC5FF7" w:rsidP="004F4935">
      <w:pPr>
        <w:pStyle w:val="a7"/>
        <w:spacing w:line="360" w:lineRule="auto"/>
        <w:ind w:firstLineChars="200" w:firstLine="560"/>
        <w:rPr>
          <w:rFonts w:ascii="宋体" w:eastAsia="宋体" w:hAnsi="宋体"/>
          <w:bCs/>
          <w:sz w:val="28"/>
          <w:szCs w:val="28"/>
        </w:rPr>
      </w:pPr>
      <w:r>
        <w:rPr>
          <w:rStyle w:val="NormalCharacter"/>
          <w:rFonts w:ascii="宋体" w:eastAsia="宋体" w:hAnsi="宋体" w:hint="eastAsia"/>
          <w:bCs/>
          <w:sz w:val="28"/>
          <w:szCs w:val="28"/>
        </w:rPr>
        <w:t>导师作为培养研究生的第一责任人,在研究生的培养过程中起着至关重要的作用，导师责任感和学术水平直接影响研究生的培养质量，鼓励导师间合作，建立学术梯队。要促进导师队伍的多元化发展，改变传统的导师制发展模式。同时要大力</w:t>
      </w:r>
      <w:r>
        <w:rPr>
          <w:rFonts w:ascii="宋体" w:eastAsia="宋体" w:hAnsi="宋体" w:hint="eastAsia"/>
          <w:bCs/>
          <w:sz w:val="28"/>
          <w:szCs w:val="28"/>
        </w:rPr>
        <w:t>争取横向课题和经费，大力开展横向课题研究，增强本专业服务经济社会发展的能力，提升办学水</w:t>
      </w:r>
      <w:r>
        <w:rPr>
          <w:rFonts w:ascii="宋体" w:eastAsia="宋体" w:hAnsi="宋体" w:hint="eastAsia"/>
          <w:bCs/>
          <w:sz w:val="28"/>
          <w:szCs w:val="28"/>
        </w:rPr>
        <w:lastRenderedPageBreak/>
        <w:t>平，实现可持续性发展。因此，本专业需要构建多层次、多类型和多维度立体的沟通交流平台，争取更多的横向科研项目。</w:t>
      </w:r>
    </w:p>
    <w:p w14:paraId="5A646C6A" w14:textId="77777777" w:rsidR="00CB0E91" w:rsidRDefault="00AC5FF7">
      <w:pPr>
        <w:pStyle w:val="a7"/>
        <w:spacing w:line="360" w:lineRule="auto"/>
        <w:ind w:firstLineChars="200" w:firstLine="562"/>
        <w:jc w:val="left"/>
        <w:rPr>
          <w:rFonts w:asciiTheme="minorHAnsi" w:eastAsiaTheme="minorEastAsia" w:hAnsiTheme="minorHAnsi" w:cstheme="minorBidi"/>
          <w:b/>
          <w:bCs/>
          <w:sz w:val="28"/>
          <w:szCs w:val="36"/>
        </w:rPr>
      </w:pPr>
      <w:r>
        <w:rPr>
          <w:rFonts w:asciiTheme="minorHAnsi" w:eastAsiaTheme="minorEastAsia" w:hAnsiTheme="minorHAnsi" w:cstheme="minorBidi" w:hint="eastAsia"/>
          <w:b/>
          <w:bCs/>
          <w:sz w:val="28"/>
          <w:szCs w:val="36"/>
        </w:rPr>
        <w:t>（三）加大科研经费投入，促进科研成果产出</w:t>
      </w:r>
    </w:p>
    <w:p w14:paraId="59A0162B" w14:textId="5C18E927" w:rsidR="00CB0E91" w:rsidRDefault="00AC5FF7" w:rsidP="004F4935">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t>科研经费对于科研产出具有重大作用，因此，为了提高科研产出率，提高本专业的学术地位，应该加大对科研工作的支持和投入。营造良好的科研环境,鼓励教师积极创新和探索；制定规范的科研经费使用办法和科研成果评价体系，制定严格的经费监管措施；调节科研经费资助对象，鼓励科研工作做得好的教师，并主动扶持相对落后的教师，加强科研工作的沟通与交流；鼓励教师多参加校内外的研究工作，尤其是重大课题项目的研究，多方争取科研经费，提高其研究水平和工作效率。</w:t>
      </w:r>
    </w:p>
    <w:p w14:paraId="42B565FE" w14:textId="5CAD50C0" w:rsidR="00F916FD" w:rsidRPr="004623A3" w:rsidRDefault="00F916FD" w:rsidP="004F4935">
      <w:pPr>
        <w:pStyle w:val="a7"/>
        <w:spacing w:line="360" w:lineRule="auto"/>
        <w:ind w:firstLineChars="200" w:firstLine="562"/>
        <w:rPr>
          <w:rFonts w:asciiTheme="minorHAnsi" w:eastAsiaTheme="minorEastAsia" w:hAnsiTheme="minorHAnsi" w:cstheme="minorBidi"/>
          <w:b/>
          <w:sz w:val="28"/>
          <w:szCs w:val="28"/>
        </w:rPr>
      </w:pPr>
      <w:r w:rsidRPr="004623A3">
        <w:rPr>
          <w:rFonts w:asciiTheme="minorHAnsi" w:eastAsiaTheme="minorEastAsia" w:hAnsiTheme="minorHAnsi" w:cstheme="minorBidi"/>
          <w:b/>
          <w:sz w:val="28"/>
          <w:szCs w:val="28"/>
        </w:rPr>
        <w:t>（四）加强国际</w:t>
      </w:r>
      <w:r w:rsidRPr="004623A3">
        <w:rPr>
          <w:rFonts w:asciiTheme="minorHAnsi" w:eastAsiaTheme="minorEastAsia" w:hAnsiTheme="minorHAnsi" w:cstheme="minorBidi" w:hint="eastAsia"/>
          <w:b/>
          <w:sz w:val="28"/>
          <w:szCs w:val="28"/>
        </w:rPr>
        <w:t>交流与合作</w:t>
      </w:r>
    </w:p>
    <w:p w14:paraId="7FFFACBD" w14:textId="0AB622D6" w:rsidR="004623A3" w:rsidRDefault="004623A3" w:rsidP="004F4935">
      <w:pPr>
        <w:pStyle w:val="a7"/>
        <w:spacing w:line="360" w:lineRule="auto"/>
        <w:ind w:firstLineChars="200" w:firstLine="560"/>
        <w:rPr>
          <w:rStyle w:val="NormalCharacter"/>
          <w:rFonts w:ascii="宋体" w:eastAsia="宋体" w:hAnsi="宋体" w:hint="eastAsia"/>
          <w:bCs/>
          <w:sz w:val="28"/>
          <w:szCs w:val="28"/>
        </w:rPr>
      </w:pPr>
      <w:r w:rsidRPr="004623A3">
        <w:rPr>
          <w:rFonts w:ascii="宋体" w:eastAsia="宋体" w:hAnsi="宋体" w:hint="eastAsia"/>
          <w:bCs/>
          <w:sz w:val="28"/>
          <w:szCs w:val="28"/>
        </w:rPr>
        <w:t>要开展多层次、宽领域的教育交流与合作，提高</w:t>
      </w:r>
      <w:r>
        <w:rPr>
          <w:rFonts w:ascii="宋体" w:eastAsia="宋体" w:hAnsi="宋体" w:hint="eastAsia"/>
          <w:bCs/>
          <w:sz w:val="28"/>
          <w:szCs w:val="28"/>
        </w:rPr>
        <w:t>本专业</w:t>
      </w:r>
      <w:r w:rsidRPr="004623A3">
        <w:rPr>
          <w:rFonts w:ascii="宋体" w:eastAsia="宋体" w:hAnsi="宋体" w:hint="eastAsia"/>
          <w:bCs/>
          <w:sz w:val="28"/>
          <w:szCs w:val="28"/>
        </w:rPr>
        <w:t>的教育国际化水平。借鉴先进的教育理念和教育经验，促进</w:t>
      </w:r>
      <w:r>
        <w:rPr>
          <w:rFonts w:ascii="宋体" w:eastAsia="宋体" w:hAnsi="宋体" w:hint="eastAsia"/>
          <w:bCs/>
          <w:sz w:val="28"/>
          <w:szCs w:val="28"/>
        </w:rPr>
        <w:t>本专业</w:t>
      </w:r>
      <w:r w:rsidRPr="004623A3">
        <w:rPr>
          <w:rFonts w:ascii="宋体" w:eastAsia="宋体" w:hAnsi="宋体" w:hint="eastAsia"/>
          <w:bCs/>
          <w:sz w:val="28"/>
          <w:szCs w:val="28"/>
        </w:rPr>
        <w:t>的教育改革发展，适应国家经济社会对外开放的要求，培养</w:t>
      </w:r>
      <w:r>
        <w:rPr>
          <w:rFonts w:ascii="宋体" w:eastAsia="宋体" w:hAnsi="宋体" w:hint="eastAsia"/>
          <w:bCs/>
          <w:sz w:val="28"/>
          <w:szCs w:val="28"/>
        </w:rPr>
        <w:t>一批</w:t>
      </w:r>
      <w:r w:rsidRPr="004623A3">
        <w:rPr>
          <w:rFonts w:ascii="宋体" w:eastAsia="宋体" w:hAnsi="宋体" w:hint="eastAsia"/>
          <w:bCs/>
          <w:sz w:val="28"/>
          <w:szCs w:val="28"/>
        </w:rPr>
        <w:t>具有国际视野</w:t>
      </w:r>
      <w:r>
        <w:rPr>
          <w:rFonts w:ascii="宋体" w:eastAsia="宋体" w:hAnsi="宋体" w:hint="eastAsia"/>
          <w:bCs/>
          <w:sz w:val="28"/>
          <w:szCs w:val="28"/>
        </w:rPr>
        <w:t>的</w:t>
      </w:r>
      <w:r w:rsidRPr="004623A3">
        <w:rPr>
          <w:rFonts w:ascii="宋体" w:eastAsia="宋体" w:hAnsi="宋体" w:hint="eastAsia"/>
          <w:bCs/>
          <w:sz w:val="28"/>
          <w:szCs w:val="28"/>
        </w:rPr>
        <w:t>人才。学</w:t>
      </w:r>
      <w:r>
        <w:rPr>
          <w:rFonts w:ascii="宋体" w:eastAsia="宋体" w:hAnsi="宋体" w:hint="eastAsia"/>
          <w:bCs/>
          <w:sz w:val="28"/>
          <w:szCs w:val="28"/>
        </w:rPr>
        <w:t>学院</w:t>
      </w:r>
      <w:r w:rsidRPr="004623A3">
        <w:rPr>
          <w:rFonts w:ascii="宋体" w:eastAsia="宋体" w:hAnsi="宋体" w:hint="eastAsia"/>
          <w:bCs/>
          <w:sz w:val="28"/>
          <w:szCs w:val="28"/>
        </w:rPr>
        <w:t>应注重观念更新和制度借鉴，把学校、学科和个人的发展放到国际参照系中进行比较和检验，学习国外的先进教育理念和制度，为教师交流和人才培养创造良好的氛围，不断提高</w:t>
      </w:r>
      <w:r>
        <w:rPr>
          <w:rFonts w:ascii="宋体" w:eastAsia="宋体" w:hAnsi="宋体" w:hint="eastAsia"/>
          <w:bCs/>
          <w:sz w:val="28"/>
          <w:szCs w:val="28"/>
        </w:rPr>
        <w:t>本专业</w:t>
      </w:r>
      <w:r w:rsidRPr="004623A3">
        <w:rPr>
          <w:rFonts w:ascii="宋体" w:eastAsia="宋体" w:hAnsi="宋体" w:hint="eastAsia"/>
          <w:bCs/>
          <w:sz w:val="28"/>
          <w:szCs w:val="28"/>
        </w:rPr>
        <w:t>的科研能力和综合实力。</w:t>
      </w:r>
    </w:p>
    <w:p w14:paraId="6D7F4C88" w14:textId="6D6EB3C9" w:rsidR="00CB0E91" w:rsidRDefault="00AC5FF7">
      <w:pPr>
        <w:pStyle w:val="a7"/>
        <w:spacing w:line="360" w:lineRule="auto"/>
        <w:ind w:firstLineChars="200" w:firstLine="562"/>
        <w:jc w:val="left"/>
        <w:rPr>
          <w:rFonts w:asciiTheme="minorHAnsi" w:eastAsiaTheme="minorEastAsia" w:hAnsiTheme="minorHAnsi" w:cstheme="minorBidi"/>
          <w:b/>
          <w:sz w:val="28"/>
          <w:szCs w:val="28"/>
        </w:rPr>
      </w:pPr>
      <w:r>
        <w:rPr>
          <w:rFonts w:asciiTheme="minorHAnsi" w:eastAsiaTheme="minorEastAsia" w:hAnsiTheme="minorHAnsi" w:cstheme="minorBidi"/>
          <w:b/>
          <w:sz w:val="28"/>
          <w:szCs w:val="28"/>
        </w:rPr>
        <w:t>（</w:t>
      </w:r>
      <w:r w:rsidR="004623A3">
        <w:rPr>
          <w:rFonts w:asciiTheme="minorHAnsi" w:eastAsiaTheme="minorEastAsia" w:hAnsiTheme="minorHAnsi" w:cstheme="minorBidi" w:hint="eastAsia"/>
          <w:b/>
          <w:sz w:val="28"/>
          <w:szCs w:val="28"/>
        </w:rPr>
        <w:t>五</w:t>
      </w:r>
      <w:r>
        <w:rPr>
          <w:rFonts w:asciiTheme="minorHAnsi" w:eastAsiaTheme="minorEastAsia" w:hAnsiTheme="minorHAnsi" w:cstheme="minorBidi"/>
          <w:b/>
          <w:sz w:val="28"/>
          <w:szCs w:val="28"/>
        </w:rPr>
        <w:t>）</w:t>
      </w:r>
      <w:r>
        <w:rPr>
          <w:rFonts w:asciiTheme="minorHAnsi" w:eastAsiaTheme="minorEastAsia" w:hAnsiTheme="minorHAnsi" w:cstheme="minorBidi" w:hint="eastAsia"/>
          <w:b/>
          <w:sz w:val="28"/>
          <w:szCs w:val="28"/>
        </w:rPr>
        <w:t>理顺实践教学管理体制，加强实践教学环节的执行力</w:t>
      </w:r>
    </w:p>
    <w:p w14:paraId="47A7E03D" w14:textId="77777777" w:rsidR="00CB0E91" w:rsidRDefault="00AC5FF7" w:rsidP="004F4935">
      <w:pPr>
        <w:pStyle w:val="a7"/>
        <w:spacing w:line="360" w:lineRule="auto"/>
        <w:ind w:firstLineChars="200" w:firstLine="560"/>
        <w:rPr>
          <w:rStyle w:val="NormalCharacter"/>
          <w:rFonts w:ascii="宋体" w:eastAsia="宋体" w:hAnsi="宋体"/>
          <w:bCs/>
          <w:sz w:val="28"/>
          <w:szCs w:val="28"/>
        </w:rPr>
      </w:pPr>
      <w:r>
        <w:rPr>
          <w:rStyle w:val="NormalCharacter"/>
          <w:rFonts w:ascii="宋体" w:eastAsia="宋体" w:hAnsi="宋体" w:hint="eastAsia"/>
          <w:bCs/>
          <w:sz w:val="28"/>
          <w:szCs w:val="28"/>
        </w:rPr>
        <w:lastRenderedPageBreak/>
        <w:t>首先，从思想层面上达成实践教学与理论教学同等重要的共识、全院上下明确管理职能和岗位职责，并加大人、财、物在实践教学方面的投入，必须在教学管理人员、教师、学生中强调实践教学的重要性。其次，进一步加强实践教学环节的管理力度。不断完善能够开展案例教学的硬件设施和基础条件，完善有关实践环节教学规范及规章制度，建设与完善实践教学环节的教学质量监控体系、强化实践教学环节的教学检查与质量监控，鼓励专任教师</w:t>
      </w:r>
      <w:r>
        <w:rPr>
          <w:rFonts w:ascii="宋体" w:eastAsia="宋体" w:hAnsi="宋体" w:hint="eastAsia"/>
          <w:bCs/>
          <w:sz w:val="28"/>
          <w:szCs w:val="28"/>
        </w:rPr>
        <w:t>积极研究旅游相关专业或学科的获奖案例或具有正式立项的旅游管理教学案例，不断</w:t>
      </w:r>
      <w:r>
        <w:rPr>
          <w:rStyle w:val="NormalCharacter"/>
          <w:rFonts w:ascii="宋体" w:eastAsia="宋体" w:hAnsi="宋体" w:hint="eastAsia"/>
          <w:bCs/>
          <w:sz w:val="28"/>
          <w:szCs w:val="28"/>
        </w:rPr>
        <w:t>开发新的教学案例。</w:t>
      </w:r>
    </w:p>
    <w:p w14:paraId="3606A69D" w14:textId="618D9D57" w:rsidR="00CB0E91" w:rsidRDefault="00CB0E91">
      <w:pPr>
        <w:pStyle w:val="a7"/>
        <w:spacing w:line="360" w:lineRule="auto"/>
        <w:ind w:firstLineChars="200" w:firstLine="560"/>
        <w:rPr>
          <w:rStyle w:val="NormalCharacter"/>
          <w:rFonts w:ascii="宋体" w:eastAsia="宋体" w:hAnsi="宋体"/>
          <w:bCs/>
          <w:sz w:val="28"/>
          <w:szCs w:val="28"/>
        </w:rPr>
      </w:pPr>
    </w:p>
    <w:sectPr w:rsidR="00CB0E91">
      <w:footerReference w:type="default" r:id="rId7"/>
      <w:pgSz w:w="11906" w:h="16838"/>
      <w:pgMar w:top="1440" w:right="1800" w:bottom="1440" w:left="1800" w:header="851" w:footer="992" w:gutter="0"/>
      <w:pgNumType w:start="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B7DB" w14:textId="77777777" w:rsidR="00FF0530" w:rsidRDefault="00FF0530">
      <w:r>
        <w:separator/>
      </w:r>
    </w:p>
  </w:endnote>
  <w:endnote w:type="continuationSeparator" w:id="0">
    <w:p w14:paraId="694658E5" w14:textId="77777777" w:rsidR="00FF0530" w:rsidRDefault="00FF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733882"/>
    </w:sdtPr>
    <w:sdtEndPr/>
    <w:sdtContent>
      <w:p w14:paraId="3FDAF8E6" w14:textId="77777777" w:rsidR="00CB0E91" w:rsidRDefault="00AC5FF7">
        <w:pPr>
          <w:pStyle w:val="a9"/>
          <w:jc w:val="center"/>
        </w:pPr>
        <w:r>
          <w:fldChar w:fldCharType="begin"/>
        </w:r>
        <w:r>
          <w:instrText>PAGE   \* MERGEFORMAT</w:instrText>
        </w:r>
        <w:r>
          <w:fldChar w:fldCharType="separate"/>
        </w:r>
        <w:r>
          <w:rPr>
            <w:lang w:val="zh-CN"/>
          </w:rPr>
          <w:t>2</w:t>
        </w:r>
        <w:r>
          <w:fldChar w:fldCharType="end"/>
        </w:r>
      </w:p>
    </w:sdtContent>
  </w:sdt>
  <w:p w14:paraId="4E8B6905" w14:textId="77777777" w:rsidR="00CB0E91" w:rsidRDefault="00CB0E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62D3" w14:textId="77777777" w:rsidR="00FF0530" w:rsidRDefault="00FF0530">
      <w:r>
        <w:separator/>
      </w:r>
    </w:p>
  </w:footnote>
  <w:footnote w:type="continuationSeparator" w:id="0">
    <w:p w14:paraId="5D265D93" w14:textId="77777777" w:rsidR="00FF0530" w:rsidRDefault="00FF0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35A7A"/>
    <w:rsid w:val="00002C5E"/>
    <w:rsid w:val="000074BE"/>
    <w:rsid w:val="000238A5"/>
    <w:rsid w:val="00023EE5"/>
    <w:rsid w:val="00030AC2"/>
    <w:rsid w:val="0005039B"/>
    <w:rsid w:val="00077F7A"/>
    <w:rsid w:val="000A1249"/>
    <w:rsid w:val="000A3A74"/>
    <w:rsid w:val="001421DD"/>
    <w:rsid w:val="00162DC2"/>
    <w:rsid w:val="0019760B"/>
    <w:rsid w:val="001D5048"/>
    <w:rsid w:val="001E3856"/>
    <w:rsid w:val="00206BEA"/>
    <w:rsid w:val="00262F68"/>
    <w:rsid w:val="002916CC"/>
    <w:rsid w:val="002C5076"/>
    <w:rsid w:val="002D121D"/>
    <w:rsid w:val="002D44D8"/>
    <w:rsid w:val="0031219C"/>
    <w:rsid w:val="00397B40"/>
    <w:rsid w:val="003D07BB"/>
    <w:rsid w:val="004000B3"/>
    <w:rsid w:val="004057C8"/>
    <w:rsid w:val="0044673C"/>
    <w:rsid w:val="004623A3"/>
    <w:rsid w:val="00486214"/>
    <w:rsid w:val="004D41E8"/>
    <w:rsid w:val="004F4935"/>
    <w:rsid w:val="005363C8"/>
    <w:rsid w:val="00577148"/>
    <w:rsid w:val="00586CAB"/>
    <w:rsid w:val="005971DF"/>
    <w:rsid w:val="005A798C"/>
    <w:rsid w:val="005B1BDE"/>
    <w:rsid w:val="005B30D7"/>
    <w:rsid w:val="005F175E"/>
    <w:rsid w:val="00610AB9"/>
    <w:rsid w:val="006151FA"/>
    <w:rsid w:val="00635044"/>
    <w:rsid w:val="0063725D"/>
    <w:rsid w:val="00643658"/>
    <w:rsid w:val="00643C51"/>
    <w:rsid w:val="006539AE"/>
    <w:rsid w:val="00697BE9"/>
    <w:rsid w:val="006C5084"/>
    <w:rsid w:val="006E69F0"/>
    <w:rsid w:val="006F2A97"/>
    <w:rsid w:val="00704A89"/>
    <w:rsid w:val="00762D73"/>
    <w:rsid w:val="007822C2"/>
    <w:rsid w:val="007D3671"/>
    <w:rsid w:val="007E0693"/>
    <w:rsid w:val="007F371F"/>
    <w:rsid w:val="008149FD"/>
    <w:rsid w:val="008269CC"/>
    <w:rsid w:val="00873E61"/>
    <w:rsid w:val="008A6B20"/>
    <w:rsid w:val="008B0455"/>
    <w:rsid w:val="008C60F0"/>
    <w:rsid w:val="008D39B4"/>
    <w:rsid w:val="008E7CEE"/>
    <w:rsid w:val="00925BE9"/>
    <w:rsid w:val="009E7F5A"/>
    <w:rsid w:val="009F2C5A"/>
    <w:rsid w:val="00A06AA0"/>
    <w:rsid w:val="00A32D63"/>
    <w:rsid w:val="00A53800"/>
    <w:rsid w:val="00A92CEE"/>
    <w:rsid w:val="00AA3767"/>
    <w:rsid w:val="00AB3086"/>
    <w:rsid w:val="00AC5FF7"/>
    <w:rsid w:val="00B1412D"/>
    <w:rsid w:val="00B37A67"/>
    <w:rsid w:val="00B535C3"/>
    <w:rsid w:val="00B60303"/>
    <w:rsid w:val="00B73F98"/>
    <w:rsid w:val="00B759AA"/>
    <w:rsid w:val="00BB40A6"/>
    <w:rsid w:val="00C172BF"/>
    <w:rsid w:val="00CA119F"/>
    <w:rsid w:val="00CA58E3"/>
    <w:rsid w:val="00CB0E91"/>
    <w:rsid w:val="00CC1CA5"/>
    <w:rsid w:val="00CC512F"/>
    <w:rsid w:val="00CC616B"/>
    <w:rsid w:val="00CC6D78"/>
    <w:rsid w:val="00D12D00"/>
    <w:rsid w:val="00D14A17"/>
    <w:rsid w:val="00D80BE2"/>
    <w:rsid w:val="00DA63FC"/>
    <w:rsid w:val="00DD04FD"/>
    <w:rsid w:val="00E503E3"/>
    <w:rsid w:val="00E633D0"/>
    <w:rsid w:val="00EA7A28"/>
    <w:rsid w:val="00F04A1C"/>
    <w:rsid w:val="00F413DA"/>
    <w:rsid w:val="00F76DDF"/>
    <w:rsid w:val="00F87A88"/>
    <w:rsid w:val="00F916FD"/>
    <w:rsid w:val="00FC5EE2"/>
    <w:rsid w:val="00FD2B53"/>
    <w:rsid w:val="00FE692A"/>
    <w:rsid w:val="00FF0530"/>
    <w:rsid w:val="00FF307D"/>
    <w:rsid w:val="00FF4BB4"/>
    <w:rsid w:val="085A6038"/>
    <w:rsid w:val="0A7E5169"/>
    <w:rsid w:val="11E35A7A"/>
    <w:rsid w:val="1F190A5B"/>
    <w:rsid w:val="207809DE"/>
    <w:rsid w:val="286C0AE6"/>
    <w:rsid w:val="2919129E"/>
    <w:rsid w:val="404610E7"/>
    <w:rsid w:val="43F56E85"/>
    <w:rsid w:val="45A71D9C"/>
    <w:rsid w:val="473E5EE7"/>
    <w:rsid w:val="47AF73D8"/>
    <w:rsid w:val="4F852441"/>
    <w:rsid w:val="61241A11"/>
    <w:rsid w:val="61EF2C21"/>
    <w:rsid w:val="69082C17"/>
    <w:rsid w:val="6D6D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12B41"/>
  <w15:docId w15:val="{43938AB6-026B-45E3-A0C0-6FBF69C1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eastAsia="方正仿宋简体" w:hAnsi="Calibri"/>
      <w:kern w:val="2"/>
      <w:sz w:val="32"/>
      <w:szCs w:val="24"/>
    </w:rPr>
  </w:style>
  <w:style w:type="paragraph" w:styleId="1">
    <w:name w:val="heading 1"/>
    <w:basedOn w:val="a"/>
    <w:next w:val="a"/>
    <w:link w:val="10"/>
    <w:qFormat/>
    <w:pPr>
      <w:keepNext/>
      <w:keepLines/>
      <w:spacing w:before="340" w:after="330" w:line="578" w:lineRule="auto"/>
      <w:outlineLvl w:val="0"/>
    </w:pPr>
    <w:rPr>
      <w:rFonts w:asciiTheme="minorHAnsi" w:eastAsiaTheme="minorEastAsia" w:hAnsiTheme="minorHAnsi" w:cs="黑体"/>
      <w:b/>
      <w:bCs/>
      <w:kern w:val="44"/>
      <w:szCs w:val="32"/>
    </w:rPr>
  </w:style>
  <w:style w:type="paragraph" w:styleId="3">
    <w:name w:val="heading 3"/>
    <w:basedOn w:val="a"/>
    <w:next w:val="a"/>
    <w:uiPriority w:val="9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ody Text"/>
    <w:basedOn w:val="a"/>
    <w:link w:val="a8"/>
    <w:qFormat/>
    <w:pPr>
      <w:spacing w:after="120"/>
    </w:p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Cs w:val="32"/>
    </w:rPr>
  </w:style>
  <w:style w:type="character" w:styleId="af0">
    <w:name w:val="annotation reference"/>
    <w:basedOn w:val="a0"/>
    <w:rPr>
      <w:sz w:val="21"/>
      <w:szCs w:val="21"/>
    </w:rPr>
  </w:style>
  <w:style w:type="paragraph" w:customStyle="1" w:styleId="2">
    <w:name w:val="样式2"/>
    <w:basedOn w:val="a"/>
    <w:qFormat/>
    <w:rPr>
      <w:rFonts w:asciiTheme="minorHAnsi" w:hAnsiTheme="minorHAnsi"/>
    </w:rPr>
  </w:style>
  <w:style w:type="paragraph" w:customStyle="1" w:styleId="30">
    <w:name w:val="样式3"/>
    <w:basedOn w:val="a"/>
    <w:next w:val="a7"/>
    <w:qFormat/>
    <w:pPr>
      <w:spacing w:line="300" w:lineRule="auto"/>
    </w:pPr>
    <w:rPr>
      <w:rFonts w:asciiTheme="minorHAnsi" w:eastAsia="宋体" w:hAnsiTheme="minorHAnsi"/>
      <w:sz w:val="24"/>
      <w:szCs w:val="22"/>
    </w:rPr>
  </w:style>
  <w:style w:type="character" w:customStyle="1" w:styleId="10">
    <w:name w:val="标题 1 字符"/>
    <w:basedOn w:val="a0"/>
    <w:link w:val="1"/>
    <w:uiPriority w:val="9"/>
    <w:qFormat/>
    <w:rPr>
      <w:rFonts w:asciiTheme="minorHAnsi" w:eastAsiaTheme="minorEastAsia" w:hAnsiTheme="minorHAnsi" w:cs="黑体"/>
      <w:b/>
      <w:bCs/>
      <w:kern w:val="44"/>
      <w:sz w:val="32"/>
      <w:szCs w:val="32"/>
    </w:rPr>
  </w:style>
  <w:style w:type="character" w:customStyle="1" w:styleId="NormalCharacter">
    <w:name w:val="NormalCharacter"/>
    <w:uiPriority w:val="99"/>
    <w:semiHidden/>
    <w:qFormat/>
    <w:rPr>
      <w:rFonts w:ascii="Calibri" w:eastAsia="方正仿宋简体" w:hAnsi="Calibri"/>
      <w:kern w:val="2"/>
      <w:sz w:val="24"/>
      <w:lang w:val="en-US" w:eastAsia="zh-CN"/>
    </w:rPr>
  </w:style>
  <w:style w:type="paragraph" w:customStyle="1" w:styleId="11">
    <w:name w:val="列表段落1"/>
    <w:basedOn w:val="a"/>
    <w:uiPriority w:val="99"/>
    <w:qFormat/>
    <w:pPr>
      <w:ind w:firstLineChars="200" w:firstLine="420"/>
    </w:pPr>
  </w:style>
  <w:style w:type="character" w:customStyle="1" w:styleId="ac">
    <w:name w:val="页眉 字符"/>
    <w:basedOn w:val="a0"/>
    <w:link w:val="ab"/>
    <w:uiPriority w:val="99"/>
    <w:qFormat/>
    <w:rPr>
      <w:rFonts w:ascii="Calibri" w:eastAsia="方正仿宋简体" w:hAnsi="Calibri" w:cs="Times New Roman"/>
      <w:kern w:val="2"/>
      <w:sz w:val="18"/>
      <w:szCs w:val="18"/>
    </w:rPr>
  </w:style>
  <w:style w:type="character" w:customStyle="1" w:styleId="aa">
    <w:name w:val="页脚 字符"/>
    <w:basedOn w:val="a0"/>
    <w:link w:val="a9"/>
    <w:uiPriority w:val="99"/>
    <w:qFormat/>
    <w:rPr>
      <w:rFonts w:ascii="Calibri" w:eastAsia="方正仿宋简体" w:hAnsi="Calibri" w:cs="Times New Roman"/>
      <w:kern w:val="2"/>
      <w:sz w:val="18"/>
      <w:szCs w:val="18"/>
    </w:rPr>
  </w:style>
  <w:style w:type="paragraph" w:styleId="af1">
    <w:name w:val="List Paragraph"/>
    <w:basedOn w:val="a"/>
    <w:uiPriority w:val="99"/>
    <w:qFormat/>
    <w:pPr>
      <w:ind w:firstLineChars="200" w:firstLine="420"/>
    </w:pPr>
  </w:style>
  <w:style w:type="character" w:customStyle="1" w:styleId="af">
    <w:name w:val="标题 字符"/>
    <w:basedOn w:val="a0"/>
    <w:link w:val="ae"/>
    <w:qFormat/>
    <w:rPr>
      <w:rFonts w:asciiTheme="majorHAnsi" w:eastAsiaTheme="majorEastAsia" w:hAnsiTheme="majorHAnsi" w:cstheme="majorBidi"/>
      <w:b/>
      <w:bCs/>
      <w:kern w:val="2"/>
      <w:sz w:val="32"/>
      <w:szCs w:val="32"/>
    </w:rPr>
  </w:style>
  <w:style w:type="character" w:customStyle="1" w:styleId="a8">
    <w:name w:val="正文文本 字符"/>
    <w:basedOn w:val="a0"/>
    <w:link w:val="a7"/>
    <w:qFormat/>
    <w:rPr>
      <w:rFonts w:ascii="Calibri" w:eastAsia="方正仿宋简体" w:hAnsi="Calibri" w:cs="Times New Roman"/>
      <w:kern w:val="2"/>
      <w:sz w:val="32"/>
      <w:szCs w:val="24"/>
    </w:rPr>
  </w:style>
  <w:style w:type="character" w:customStyle="1" w:styleId="a6">
    <w:name w:val="批注文字 字符"/>
    <w:basedOn w:val="a0"/>
    <w:link w:val="a4"/>
    <w:qFormat/>
    <w:rPr>
      <w:rFonts w:ascii="Calibri" w:eastAsia="方正仿宋简体" w:hAnsi="Calibri"/>
      <w:kern w:val="2"/>
      <w:sz w:val="32"/>
      <w:szCs w:val="24"/>
    </w:rPr>
  </w:style>
  <w:style w:type="character" w:customStyle="1" w:styleId="a5">
    <w:name w:val="批注主题 字符"/>
    <w:basedOn w:val="a6"/>
    <w:link w:val="a3"/>
    <w:qFormat/>
    <w:rPr>
      <w:rFonts w:ascii="Calibri" w:eastAsia="方正仿宋简体" w:hAnsi="Calibri"/>
      <w:b/>
      <w:bCs/>
      <w:kern w:val="2"/>
      <w:sz w:val="32"/>
      <w:szCs w:val="24"/>
    </w:rPr>
  </w:style>
  <w:style w:type="table" w:styleId="af2">
    <w:name w:val="Table Grid"/>
    <w:basedOn w:val="a1"/>
    <w:rsid w:val="0005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
    <w:name w:val="x1"/>
    <w:basedOn w:val="a0"/>
    <w:rsid w:val="0064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25</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WPS_1527920887</dc:creator>
  <cp:lastModifiedBy>茂芳</cp:lastModifiedBy>
  <cp:revision>6</cp:revision>
  <dcterms:created xsi:type="dcterms:W3CDTF">2022-02-28T13:57:00Z</dcterms:created>
  <dcterms:modified xsi:type="dcterms:W3CDTF">2022-03-04T03:26:00Z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0794987687BB4164981CB24CCC80D8C0</vt:lpwstr>
  </property>
  <property fmtid="{D5CDD505-2E9C-101B-9397-08002B2CF9AE}" pid="4" name="KSORubyTemplateID" linkTarget="0">
    <vt:lpwstr>6</vt:lpwstr>
  </property>
</Properties>
</file>